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A0" w:rsidRPr="001517A0" w:rsidRDefault="001517A0" w:rsidP="001517A0">
      <w:pPr>
        <w:shd w:val="clear" w:color="auto" w:fill="FFFFFF"/>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b/>
          <w:bCs/>
          <w:color w:val="000000"/>
          <w:sz w:val="24"/>
          <w:szCs w:val="24"/>
        </w:rPr>
        <w:t>ANNEX II</w:t>
      </w:r>
    </w:p>
    <w:p w:rsidR="001517A0" w:rsidRPr="001517A0" w:rsidRDefault="001517A0" w:rsidP="001517A0">
      <w:pPr>
        <w:shd w:val="clear" w:color="auto" w:fill="FFFFFF"/>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COMPULSORY FIRE AND EXPLOSION INSURANCE PREMIUMS AND DEDUCTIBLES</w:t>
      </w:r>
      <w:r w:rsidRPr="001517A0">
        <w:rPr>
          <w:rFonts w:ascii="Arial" w:eastAsia="Times New Roman" w:hAnsi="Arial" w:cs="Arial"/>
          <w:color w:val="000000"/>
          <w:sz w:val="18"/>
          <w:szCs w:val="18"/>
        </w:rPr>
        <w:br/>
      </w:r>
      <w:r w:rsidRPr="001517A0">
        <w:rPr>
          <w:rFonts w:ascii="Arial" w:eastAsia="Times New Roman" w:hAnsi="Arial" w:cs="Arial"/>
          <w:i/>
          <w:iCs/>
          <w:color w:val="000000"/>
          <w:sz w:val="18"/>
          <w:szCs w:val="18"/>
        </w:rPr>
        <w:t>(Enclosed with the Government’s Decree No. 67/2023/ND-CP dated September 06, 2023)</w:t>
      </w:r>
    </w:p>
    <w:p w:rsidR="001517A0" w:rsidRPr="001517A0" w:rsidRDefault="001517A0" w:rsidP="001517A0">
      <w:pPr>
        <w:shd w:val="clear" w:color="auto" w:fill="FFFFFF"/>
        <w:spacing w:before="120" w:after="120" w:line="234" w:lineRule="atLeast"/>
        <w:rPr>
          <w:rFonts w:ascii="Arial" w:eastAsia="Times New Roman" w:hAnsi="Arial" w:cs="Arial"/>
          <w:color w:val="000000"/>
          <w:sz w:val="18"/>
          <w:szCs w:val="18"/>
        </w:rPr>
      </w:pPr>
      <w:r w:rsidRPr="001517A0">
        <w:rPr>
          <w:rFonts w:ascii="Arial" w:eastAsia="Times New Roman" w:hAnsi="Arial" w:cs="Arial"/>
          <w:b/>
          <w:bCs/>
          <w:color w:val="000000"/>
          <w:sz w:val="18"/>
          <w:szCs w:val="18"/>
        </w:rPr>
        <w:t>I. INSURANCE PREMIUMS (EXCLUSIVE OF VAT)</w:t>
      </w:r>
    </w:p>
    <w:p w:rsidR="001517A0" w:rsidRPr="001517A0" w:rsidRDefault="001517A0" w:rsidP="001517A0">
      <w:pPr>
        <w:shd w:val="clear" w:color="auto" w:fill="FFFFFF"/>
        <w:spacing w:after="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lang w:val="nl-NL"/>
        </w:rPr>
        <w:t>1. </w:t>
      </w:r>
      <w:r w:rsidRPr="001517A0">
        <w:rPr>
          <w:rFonts w:ascii="Arial" w:eastAsia="Times New Roman" w:hAnsi="Arial" w:cs="Arial"/>
          <w:color w:val="000000"/>
          <w:sz w:val="18"/>
          <w:szCs w:val="18"/>
        </w:rPr>
        <w:t>If the total sum insured for property existing in a single facility facing fire and explosion risks (or “insured facility”) (except nuclear facilities) as prescribed in Annex II enclosed with the Government’s Decree No. </w:t>
      </w:r>
      <w:hyperlink r:id="rId4" w:tgtFrame="_blank" w:tooltip="Decree of Government 136/2020/ND-CP" w:history="1">
        <w:r w:rsidRPr="001517A0">
          <w:rPr>
            <w:rFonts w:ascii="Arial" w:eastAsia="Times New Roman" w:hAnsi="Arial" w:cs="Arial"/>
            <w:color w:val="0E70C3"/>
            <w:sz w:val="18"/>
            <w:szCs w:val="18"/>
          </w:rPr>
          <w:t>136/2020/ND-CP</w:t>
        </w:r>
      </w:hyperlink>
      <w:r w:rsidRPr="001517A0">
        <w:rPr>
          <w:rFonts w:ascii="Arial" w:eastAsia="Times New Roman" w:hAnsi="Arial" w:cs="Arial"/>
          <w:color w:val="000000"/>
          <w:sz w:val="18"/>
          <w:szCs w:val="18"/>
        </w:rPr>
        <w:t> dated November 24, 2020 and its amendments (if any) is less than VND 1.000 billion, the insurance premium equals the minimum amount of coverage multiplied (x) by the insurance premium rate. Based on the level of risk faced by each insured facility, the insurer and the policyholder shall reach an agreement on the insurance premium rate which shall not be lower than the following rates: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4"/>
        <w:gridCol w:w="6204"/>
        <w:gridCol w:w="1157"/>
        <w:gridCol w:w="1305"/>
      </w:tblGrid>
      <w:tr w:rsidR="001517A0" w:rsidRPr="001517A0" w:rsidTr="001517A0">
        <w:trPr>
          <w:tblCellSpacing w:w="0" w:type="dxa"/>
        </w:trPr>
        <w:tc>
          <w:tcPr>
            <w:tcW w:w="67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b/>
                <w:bCs/>
                <w:color w:val="000000"/>
                <w:sz w:val="18"/>
                <w:szCs w:val="18"/>
              </w:rPr>
              <w:t>No.</w:t>
            </w:r>
          </w:p>
        </w:tc>
        <w:tc>
          <w:tcPr>
            <w:tcW w:w="645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b/>
                <w:bCs/>
                <w:color w:val="000000"/>
                <w:sz w:val="18"/>
                <w:szCs w:val="18"/>
              </w:rPr>
              <w:t>Insured facilities</w:t>
            </w:r>
          </w:p>
        </w:tc>
        <w:tc>
          <w:tcPr>
            <w:tcW w:w="89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b/>
                <w:bCs/>
                <w:color w:val="000000"/>
                <w:sz w:val="18"/>
                <w:szCs w:val="18"/>
              </w:rPr>
              <w:t>Deductible</w:t>
            </w:r>
          </w:p>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b/>
                <w:bCs/>
                <w:color w:val="000000"/>
                <w:sz w:val="18"/>
                <w:szCs w:val="18"/>
              </w:rPr>
              <w:t>(type)</w:t>
            </w:r>
          </w:p>
        </w:tc>
        <w:tc>
          <w:tcPr>
            <w:tcW w:w="132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b/>
                <w:bCs/>
                <w:color w:val="000000"/>
                <w:sz w:val="18"/>
                <w:szCs w:val="18"/>
              </w:rPr>
              <w:t>Premium rate/year</w:t>
            </w:r>
          </w:p>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b/>
                <w:bCs/>
                <w:color w:val="000000"/>
                <w:sz w:val="18"/>
                <w:szCs w:val="18"/>
              </w:rPr>
              <w:t>(%)</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Premises of regulatory bodies at all levels with at least 10 stories or total volume of all work buildings of at least 25.000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Apartment buildings, tenement houses and dormitories with at least 7 stories or total volume of at least 10.000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mixed-use buildings with at least 5 stories or total volume of at least 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2.1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Apartment buildings, tenement houses, dormitories and mixed-use buildings equipped with fire sprinkler systems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2.2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Apartment buildings, tenement houses, dormitories and mixed-use buildings which are not equipped with fire sprinkler systems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3</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Junior kindergartens and senior kindergartens with at least 350 students or total volume of all educational buildings of at least 5.000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primary schools, lower secondary schools; upper secondary schools and multi-level secondary schools with total volume of all educational buildings of at least 5.000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colleges, universities, academies, post-secondary schools, vocational training schools and continuing education institutions with at least 7 stories or total volume of all educational buildings of at least 10.000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other educational institutions established under the Education Law with total volume of at least 5.000m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4</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Hospitals with at least 250 beds; polyclinics, clinics, sanitariums, physical rehabilitation facilities, orthopedic facilities, nursing homes, epidemic prevention and control facilities, medical centers and other healthcare facilities established under the Law on Medical Examination and Treatment with at least 5 stories or total volume of at least 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5</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Theaters, cinemas and circuses with at least 600 seats; convention and event centers with at least 5 stories or total volume of all convention buildings of at least 10.000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cultural centers, karaoke facilities, night clubs, bars, clubs, beauty clinics, massage shops, theme parks, zoos and aquariums with volume of at least 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lastRenderedPageBreak/>
              <w:t>5.1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Karaoke facilities, night clubs, bars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0,4</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5.2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Theaters, cinemas and circuses; convention and event centers; cultural centers, clubs, beauty clinics, massage 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5.3</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Theme parks, zoos and aquariums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6</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Classes 1 and 2 markets; shopping malls, electronic appliances centers, supermarkets, department stores, convenience stores, restaurants, and food and beverage stores with total business space of at least 500 m</w:t>
            </w:r>
            <w:r w:rsidRPr="001517A0">
              <w:rPr>
                <w:rFonts w:ascii="Arial" w:eastAsia="Times New Roman" w:hAnsi="Arial" w:cs="Arial"/>
                <w:color w:val="000000"/>
                <w:sz w:val="18"/>
                <w:szCs w:val="18"/>
                <w:vertAlign w:val="superscript"/>
              </w:rPr>
              <w:t>2</w:t>
            </w:r>
            <w:r w:rsidRPr="001517A0">
              <w:rPr>
                <w:rFonts w:ascii="Arial" w:eastAsia="Times New Roman" w:hAnsi="Arial" w:cs="Arial"/>
                <w:color w:val="000000"/>
                <w:sz w:val="18"/>
                <w:szCs w:val="18"/>
              </w:rPr>
              <w:t> or volume of at least 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6.1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Shopping malls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0,06</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6.2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Supermarkets, department stores, electronic appliances centers, convenience stores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0,08</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6.3</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Restaurants, and food and beverage stores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6.4</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Markets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7</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Hotels, guest houses, rooms for rent and other accommodation facilities, established under the Law on Tourism, with at least 7 stories or volume of buildings serving accommodation of at least 10.000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7.1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Hotels, guest houses, rooms for rent and other accommodation facilities, established under the Law on Tourism, equipped with fire sprinkler systems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7.2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Hotels, guest houses, rooms for rent and other accommodation facilities, established under the Law on Tourism, which are not equipped with fire sprinkler systems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8</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Workplaces of enterprises and socio - political organizations with at least 7 stories or total volume of working buildings of at least 10.000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9</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Museums, libraries, exhibition centers, galleries, archives, bookstores and trade fair facilities with volume of at least 10.000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9.1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Museums, libraries, showrooms, archives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0,075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9.2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Exhibition centers, bookstores and trade fair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10</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Post offices and radio/television broadcasting and telecommunications facilities with at least 5 stories or volume of at least 10.000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information equipment housing units and data storage and management centers with volume of at least 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0,075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lastRenderedPageBreak/>
              <w:t>11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Stadiums with capacity of at least 40.000 seats; indoor stadiums with capacity of at least 500 seats;</w:t>
            </w:r>
            <w:r w:rsidRPr="001517A0">
              <w:rPr>
                <w:rFonts w:ascii="Arial" w:eastAsia="Times New Roman" w:hAnsi="Arial" w:cs="Arial"/>
                <w:color w:val="000000"/>
                <w:sz w:val="18"/>
                <w:szCs w:val="18"/>
                <w:vertAlign w:val="superscript"/>
              </w:rPr>
              <w:t> </w:t>
            </w:r>
            <w:r w:rsidRPr="001517A0">
              <w:rPr>
                <w:rFonts w:ascii="Arial" w:eastAsia="Times New Roman" w:hAnsi="Arial" w:cs="Arial"/>
                <w:color w:val="000000"/>
                <w:sz w:val="18"/>
                <w:szCs w:val="18"/>
              </w:rPr>
              <w:t>sports centers, race tracks and shooting ranges with total volume of all sport buildings of at least 10.000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or at least 5.000 seats; other sports facilities established under the Law on Physical Training and Sports with volume of at least 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0,06</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Airports, air traffic control towers; wharves of seaports; dry ports; classes I and II inland waterway ports; classes 1 and 2 coach stations; class 1 rest stops; rail stations; and aerial passenger tramway terminals with volume of at least 5.000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subway facilities; motor vehicle registration facilities; and automobile, motorcycle and moped trading and maintenance facilities with business space of at least 500 m</w:t>
            </w:r>
            <w:r w:rsidRPr="001517A0">
              <w:rPr>
                <w:rFonts w:ascii="Arial" w:eastAsia="Times New Roman" w:hAnsi="Arial" w:cs="Arial"/>
                <w:color w:val="000000"/>
                <w:sz w:val="18"/>
                <w:szCs w:val="18"/>
                <w:vertAlign w:val="superscript"/>
              </w:rPr>
              <w:t>2 </w:t>
            </w:r>
            <w:r w:rsidRPr="001517A0">
              <w:rPr>
                <w:rFonts w:ascii="Arial" w:eastAsia="Times New Roman" w:hAnsi="Arial" w:cs="Arial"/>
                <w:color w:val="000000"/>
                <w:sz w:val="18"/>
                <w:szCs w:val="18"/>
              </w:rPr>
              <w:t>or volume of at least 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12.1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Wharves of seaports; dry ports; inland waterway ports; coach stations; rest stops; aerial passenger tramway terminals; motor vehicle registration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12.2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Rail stations; subway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12.3</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Airports; air traffic control towers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0,08</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12.4</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Automobile, motorcycle and moped trading and maintenance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13</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Garages capable of accommodating at least 10 automobiles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14</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producing, trading, preserving and using industrial explosives and explosive precursors; industrial explosive and explosive precursor storage facilities; industrial explosive and explosive precursor import and export ports; weapon and combat gear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15</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for extracting, processing, producing, transporting, trading and preserving petroleum, petroleum products and gas on land; petroleum and petroleum product terminals, gas terminals; petroleum, petroleum product and gas import and export ports; filling stations; flammable liquid stations and gas stations with total gas storage of at least 200 kg</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15.1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for extracting, processing, producing, transporting, trading and preserving petroleum, petroleum products and gas on land</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0,35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15.2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Petroleum and petroleum product terminals, gas terminals; petroleum, petroleum product and gas import and export ports; filling stations; flammable liquid stations and gas stations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0,3</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16</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Industrial facilities with grade-A or B fire and explosion risk and total volume of all buildings housing the main production lines of at least 5.000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grade-C fire and explosion risk and total volume of all buildings housing the main production lines of at least 10.000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grade-D or E fire and explosion risk and total volume of all buildings housing the main production lines of at least 15.000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lastRenderedPageBreak/>
              <w:t>16.1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 Industrial facilities with grade-A, B or C fire and explosion risk (except garment and textile, wood, footwear and paper production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In which:</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Rubber vulcanizing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Handicraft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Carving workshops (making brooms, brushes, paintbrushes, except wood processing)</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Ore smelting factories (except iron ore)</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Coke smelting factories; coal briquette and lignite briquette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Metal ore mining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Fabric scrap processing facilities (classifying, cleaning, combing, trading)</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Leather product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Rubber band manufacturing 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Leather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Brush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Paint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Factories manufacturing inorganic and organic chemicals used in processing of ingredients and semi-finished products such as fertilizers in the form of granules, pellets or powder, or acid, salt, solvent, synthetic rubber</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Raincoat, plastic sheet, table linen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Candle wax and polishing wax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Moulded plastic and plastic bar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Stopper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Soap and cosmetics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manufacturing plastic parts for assembly</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Synthetic polymer and condensed rubber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Rubber product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Artificial flower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Printing factories/workshops (excluding paper manufacturing and processing)</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Printing ink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Bookbinding 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Factories manufacturing tobacco products and unmanufactured tobacco</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Mixed fertilizer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Waste incineration plants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Paint 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manufacturing building materials made of wood, paper or flammable substances (except manufacturing of wooden furniture)</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Alcohol and other flammable liquid manufacturing facilities (except petroleum and gas)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Battery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Painting, backdrop, and advertisement panel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Funeral/cremation organization centers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Sandpaper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Shipbuilding and repair yards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Aircraft maintenance and repair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16.1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b) Garment and textile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In which:</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Workshops manufacturing rope and cordage, except sewing thread (if coated with plastic or asphalt)</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Workshops manufacturing rope and cordage, except sewing thread (if not coated with plastic or asphalt)</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Knitting 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Animal fur processing and sewing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Fabric dyeing and printing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Textile factories processing different fibre types (including cotton, viscose, linen, hemp and jute)</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Textile spinning 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Carpet and floor covering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Sewing thread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Washing, ironing, bleaching, steaming, dyeing 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Underwear and lace panty sewing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Garment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manufacturing other unclassified textile products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Silk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Silk, wool, and synthetic fiber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Feather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16.1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 Wood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In which:</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Wood charcoal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Wood pencil manufacturing factories/workshops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manufacturing baskets and products made of rattan, bamboo, tropical bamboo</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Match, incense, joss paper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Wooden product manufacturing and processing factories/workshops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lastRenderedPageBreak/>
              <w:t>16.1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d) Footwear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0,35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16.1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dd) Workshops manufacturing paper and processing paper, cardboard and industrial packaging materials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0,35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16.2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Industrial facilities with grade-D or E fire and explosion risk</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In which:</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Iron, steel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Other ore processing and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processing gravels, chippings, coal slag and plastic mixtures with asphalt or bitumen</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Mineral manufacturing facilities (sawing, grinding, polishing)</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manufacturing and processing hollow glass products, bottles, optical instruments, door glass, glass panels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Film studios, film processing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Filming material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Rice, wheat, and agricultural product polishing and husking factories/workshops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cattle feed and other feed manufacturing and processing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Instant noodle and instant congee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Sugar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Confectionery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Cooking oil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Fish sauce and vinegar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Factories manufacturing canned foods, processing aquatic products, meat and dairy products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Malt manufacturing workshops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Spirit, beer, juice, mineral water, and drinking water manufacturing facilities; beer breweries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Welding and cutting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Facilities manufacturing common and luxury ceramic products such as floor tiles, porcelain products, terracotta products, ceramic products, etc.</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Casting furnaces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Cement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Electrical equipment manufacturing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Factories manufacturing prefabricated metal structures and components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Metal can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Factories manufacturing nuts and bolts, and processing other metals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Water treatment plants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Solid waste treatment plants (without application of incineration technologies)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Water purifier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Clock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Solar panel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Mechanical equipment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Factories manufacturing spare parts of automobiles, bicycles, motorbikes and other parts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Factories manufacturing and assembling automobiles, motorbikes, electric vehicles, etc. of various types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Gold, silver and jewelry manufacturing and processing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Factories manufacturing and assembling electronic components (printing machines, cameras, computers, household articles, etc.), telecommunications equipment, semi-conductors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Optical cable and copper cable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Aircraft part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Rolling bearing and washer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Metal zipper manufacturing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Pharmaceutical factories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17</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Power plants; electrical substations with voltage of at least 110 kv</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17.1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Thermoelectric power plants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17.2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Hydroelectricity power plants; nuclear power plants, geothermal power plants, tidal power plants, waste-to-electricity plants, biomass power plants, biogas power plants, cogeneration plants, and other power plants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17.3</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Floating wind turbines and solar power plants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17.4</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Electrical substations with voltage of at least 110 kv</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18</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Tunnels with production, storage and use of flammable materials and explosives and total volume of at least 5.000 m</w:t>
            </w:r>
            <w:r w:rsidRPr="001517A0">
              <w:rPr>
                <w:rFonts w:ascii="Arial" w:eastAsia="Times New Roman" w:hAnsi="Arial" w:cs="Arial"/>
                <w:color w:val="000000"/>
                <w:sz w:val="18"/>
                <w:szCs w:val="18"/>
                <w:vertAlign w:val="superscript"/>
              </w:rPr>
              <w:t>3</w:t>
            </w:r>
            <w:r w:rsidRPr="001517A0">
              <w:rPr>
                <w:rFonts w:ascii="Arial" w:eastAsia="Times New Roman" w:hAnsi="Arial" w:cs="Arial"/>
                <w:color w:val="000000"/>
                <w:sz w:val="18"/>
                <w:szCs w:val="18"/>
              </w:rPr>
              <w:t>; storage facilities of flammable goods/materials or non-flammable goods/materials contained in flammable packaging with total volume of at least 5.000 m</w:t>
            </w:r>
            <w:r w:rsidRPr="001517A0">
              <w:rPr>
                <w:rFonts w:ascii="Arial" w:eastAsia="Times New Roman" w:hAnsi="Arial" w:cs="Arial"/>
                <w:color w:val="000000"/>
                <w:sz w:val="18"/>
                <w:szCs w:val="18"/>
                <w:vertAlign w:val="superscript"/>
              </w:rPr>
              <w:t>3</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18.1</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Tunnels with production, storage and use of flammable materials and explosives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18.2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 Storage facilities of flammable goods/materials (except cotton, fabric, fibre, wool, textile product storage facilities)</w:t>
            </w:r>
          </w:p>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(Standalone storage facilities which are not located in the same premises with manufacturing factories/facilities)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In which:</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General warehousing facilities, storage yards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Asphalt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Paint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Chemical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Plastic and rubber finished and semi-finished product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Alcoholic beverage and flammable liquid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Paper, cardboard and packaging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Wooden product and article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Essential oil, flavoring and cooking oil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Storage facilities of tobacco industry</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Pharmaceutical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Photographic material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Electrical and electronic equipment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Agricultural product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Cold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Building material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18.2</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b) Cotton, fabric, fibre, wool, textile product storage facilities</w:t>
            </w:r>
          </w:p>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(Standalone storage facilities which are not located in the same premises with manufacturing factories/facilities)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N</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0,25</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18.3</w:t>
            </w: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Storage facilities of non-flammable goods/materials contained in flammable packaging (standalone storage facilities which are not located in the same premises with manufacturing factories/facilities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In which:</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Times New Roman" w:eastAsia="Times New Roman" w:hAnsi="Times New Roman" w:cs="Times New Roman"/>
                <w:sz w:val="20"/>
                <w:szCs w:val="20"/>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Brick, ceramic, porcelain, cement and plaster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Metal and mechanical spare part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Lubricating oil and grease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w:t>
            </w:r>
          </w:p>
        </w:tc>
      </w:tr>
      <w:tr w:rsidR="001517A0" w:rsidRPr="001517A0" w:rsidTr="001517A0">
        <w:trPr>
          <w:tblCellSpacing w:w="0" w:type="dxa"/>
        </w:trPr>
        <w:tc>
          <w:tcPr>
            <w:tcW w:w="6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after="0" w:line="240" w:lineRule="auto"/>
              <w:rPr>
                <w:rFonts w:ascii="Arial" w:eastAsia="Times New Roman" w:hAnsi="Arial" w:cs="Arial"/>
                <w:color w:val="000000"/>
                <w:sz w:val="18"/>
                <w:szCs w:val="18"/>
              </w:rPr>
            </w:pPr>
          </w:p>
        </w:tc>
        <w:tc>
          <w:tcPr>
            <w:tcW w:w="645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517A0" w:rsidRPr="001517A0" w:rsidRDefault="001517A0" w:rsidP="001517A0">
            <w:pPr>
              <w:spacing w:before="120" w:after="120" w:line="234" w:lineRule="atLeast"/>
              <w:rPr>
                <w:rFonts w:ascii="Arial" w:eastAsia="Times New Roman" w:hAnsi="Arial" w:cs="Arial"/>
                <w:color w:val="000000"/>
                <w:sz w:val="18"/>
                <w:szCs w:val="18"/>
              </w:rPr>
            </w:pPr>
            <w:r w:rsidRPr="001517A0">
              <w:rPr>
                <w:rFonts w:ascii="Arial" w:eastAsia="Times New Roman" w:hAnsi="Arial" w:cs="Arial"/>
                <w:color w:val="000000"/>
                <w:sz w:val="18"/>
                <w:szCs w:val="18"/>
              </w:rPr>
              <w:t>Mineral water and drinks storage facilities</w:t>
            </w:r>
          </w:p>
        </w:tc>
        <w:tc>
          <w:tcPr>
            <w:tcW w:w="8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M</w:t>
            </w:r>
          </w:p>
        </w:tc>
        <w:tc>
          <w:tcPr>
            <w:tcW w:w="13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517A0" w:rsidRPr="001517A0" w:rsidRDefault="001517A0" w:rsidP="001517A0">
            <w:pPr>
              <w:spacing w:before="120" w:after="120" w:line="234" w:lineRule="atLeast"/>
              <w:jc w:val="center"/>
              <w:rPr>
                <w:rFonts w:ascii="Arial" w:eastAsia="Times New Roman" w:hAnsi="Arial" w:cs="Arial"/>
                <w:color w:val="000000"/>
                <w:sz w:val="18"/>
                <w:szCs w:val="18"/>
              </w:rPr>
            </w:pPr>
            <w:r w:rsidRPr="001517A0">
              <w:rPr>
                <w:rFonts w:ascii="Arial" w:eastAsia="Times New Roman" w:hAnsi="Arial" w:cs="Arial"/>
                <w:color w:val="000000"/>
                <w:sz w:val="18"/>
                <w:szCs w:val="18"/>
              </w:rPr>
              <w:t>0,1</w:t>
            </w:r>
          </w:p>
        </w:tc>
      </w:tr>
    </w:tbl>
    <w:p w:rsidR="00617319" w:rsidRPr="001517A0" w:rsidRDefault="00617319" w:rsidP="001517A0">
      <w:bookmarkStart w:id="0" w:name="_GoBack"/>
      <w:bookmarkEnd w:id="0"/>
    </w:p>
    <w:sectPr w:rsidR="00617319" w:rsidRPr="001517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33"/>
    <w:rsid w:val="001517A0"/>
    <w:rsid w:val="001E594F"/>
    <w:rsid w:val="003F09A3"/>
    <w:rsid w:val="00617319"/>
    <w:rsid w:val="0070536C"/>
    <w:rsid w:val="00740BE4"/>
    <w:rsid w:val="00A83933"/>
    <w:rsid w:val="00B66B9F"/>
    <w:rsid w:val="00B956F7"/>
    <w:rsid w:val="00DA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EF296-32B2-46FA-830B-A9FFE9AD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39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933"/>
    <w:rPr>
      <w:rFonts w:ascii="Times New Roman" w:eastAsia="Times New Roman" w:hAnsi="Times New Roman" w:cs="Times New Roman"/>
      <w:b/>
      <w:bCs/>
      <w:sz w:val="36"/>
      <w:szCs w:val="36"/>
    </w:rPr>
  </w:style>
  <w:style w:type="character" w:styleId="Strong">
    <w:name w:val="Strong"/>
    <w:basedOn w:val="DefaultParagraphFont"/>
    <w:uiPriority w:val="22"/>
    <w:qFormat/>
    <w:rsid w:val="00A83933"/>
    <w:rPr>
      <w:b/>
      <w:bCs/>
    </w:rPr>
  </w:style>
  <w:style w:type="paragraph" w:styleId="NormalWeb">
    <w:name w:val="Normal (Web)"/>
    <w:basedOn w:val="Normal"/>
    <w:uiPriority w:val="99"/>
    <w:semiHidden/>
    <w:unhideWhenUsed/>
    <w:rsid w:val="00A839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3933"/>
    <w:rPr>
      <w:color w:val="0000FF"/>
      <w:u w:val="single"/>
    </w:rPr>
  </w:style>
  <w:style w:type="character" w:styleId="Emphasis">
    <w:name w:val="Emphasis"/>
    <w:basedOn w:val="DefaultParagraphFont"/>
    <w:uiPriority w:val="20"/>
    <w:qFormat/>
    <w:rsid w:val="00A83933"/>
    <w:rPr>
      <w:i/>
      <w:iCs/>
    </w:rPr>
  </w:style>
  <w:style w:type="character" w:styleId="FollowedHyperlink">
    <w:name w:val="FollowedHyperlink"/>
    <w:basedOn w:val="DefaultParagraphFont"/>
    <w:uiPriority w:val="99"/>
    <w:semiHidden/>
    <w:unhideWhenUsed/>
    <w:rsid w:val="001517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2741">
      <w:bodyDiv w:val="1"/>
      <w:marLeft w:val="0"/>
      <w:marRight w:val="0"/>
      <w:marTop w:val="0"/>
      <w:marBottom w:val="0"/>
      <w:divBdr>
        <w:top w:val="none" w:sz="0" w:space="0" w:color="auto"/>
        <w:left w:val="none" w:sz="0" w:space="0" w:color="auto"/>
        <w:bottom w:val="none" w:sz="0" w:space="0" w:color="auto"/>
        <w:right w:val="none" w:sz="0" w:space="0" w:color="auto"/>
      </w:divBdr>
    </w:div>
    <w:div w:id="338968518">
      <w:bodyDiv w:val="1"/>
      <w:marLeft w:val="0"/>
      <w:marRight w:val="0"/>
      <w:marTop w:val="0"/>
      <w:marBottom w:val="0"/>
      <w:divBdr>
        <w:top w:val="none" w:sz="0" w:space="0" w:color="auto"/>
        <w:left w:val="none" w:sz="0" w:space="0" w:color="auto"/>
        <w:bottom w:val="none" w:sz="0" w:space="0" w:color="auto"/>
        <w:right w:val="none" w:sz="0" w:space="0" w:color="auto"/>
      </w:divBdr>
      <w:divsChild>
        <w:div w:id="189349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10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84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6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795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2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0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86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197643">
          <w:blockQuote w:val="1"/>
          <w:marLeft w:val="720"/>
          <w:marRight w:val="720"/>
          <w:marTop w:val="100"/>
          <w:marBottom w:val="100"/>
          <w:divBdr>
            <w:top w:val="none" w:sz="0" w:space="0" w:color="auto"/>
            <w:left w:val="none" w:sz="0" w:space="0" w:color="auto"/>
            <w:bottom w:val="none" w:sz="0" w:space="0" w:color="auto"/>
            <w:right w:val="none" w:sz="0" w:space="0" w:color="auto"/>
          </w:divBdr>
        </w:div>
        <w:div w:id="82866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780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04961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5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185984">
      <w:bodyDiv w:val="1"/>
      <w:marLeft w:val="0"/>
      <w:marRight w:val="0"/>
      <w:marTop w:val="0"/>
      <w:marBottom w:val="0"/>
      <w:divBdr>
        <w:top w:val="none" w:sz="0" w:space="0" w:color="auto"/>
        <w:left w:val="none" w:sz="0" w:space="0" w:color="auto"/>
        <w:bottom w:val="none" w:sz="0" w:space="0" w:color="auto"/>
        <w:right w:val="none" w:sz="0" w:space="0" w:color="auto"/>
      </w:divBdr>
    </w:div>
    <w:div w:id="883055123">
      <w:bodyDiv w:val="1"/>
      <w:marLeft w:val="0"/>
      <w:marRight w:val="0"/>
      <w:marTop w:val="0"/>
      <w:marBottom w:val="0"/>
      <w:divBdr>
        <w:top w:val="none" w:sz="0" w:space="0" w:color="auto"/>
        <w:left w:val="none" w:sz="0" w:space="0" w:color="auto"/>
        <w:bottom w:val="none" w:sz="0" w:space="0" w:color="auto"/>
        <w:right w:val="none" w:sz="0" w:space="0" w:color="auto"/>
      </w:divBdr>
    </w:div>
    <w:div w:id="929050052">
      <w:bodyDiv w:val="1"/>
      <w:marLeft w:val="0"/>
      <w:marRight w:val="0"/>
      <w:marTop w:val="0"/>
      <w:marBottom w:val="0"/>
      <w:divBdr>
        <w:top w:val="none" w:sz="0" w:space="0" w:color="auto"/>
        <w:left w:val="none" w:sz="0" w:space="0" w:color="auto"/>
        <w:bottom w:val="none" w:sz="0" w:space="0" w:color="auto"/>
        <w:right w:val="none" w:sz="0" w:space="0" w:color="auto"/>
      </w:divBdr>
    </w:div>
    <w:div w:id="1009723951">
      <w:bodyDiv w:val="1"/>
      <w:marLeft w:val="0"/>
      <w:marRight w:val="0"/>
      <w:marTop w:val="0"/>
      <w:marBottom w:val="0"/>
      <w:divBdr>
        <w:top w:val="none" w:sz="0" w:space="0" w:color="auto"/>
        <w:left w:val="none" w:sz="0" w:space="0" w:color="auto"/>
        <w:bottom w:val="none" w:sz="0" w:space="0" w:color="auto"/>
        <w:right w:val="none" w:sz="0" w:space="0" w:color="auto"/>
      </w:divBdr>
    </w:div>
    <w:div w:id="1017657546">
      <w:bodyDiv w:val="1"/>
      <w:marLeft w:val="0"/>
      <w:marRight w:val="0"/>
      <w:marTop w:val="0"/>
      <w:marBottom w:val="0"/>
      <w:divBdr>
        <w:top w:val="none" w:sz="0" w:space="0" w:color="auto"/>
        <w:left w:val="none" w:sz="0" w:space="0" w:color="auto"/>
        <w:bottom w:val="none" w:sz="0" w:space="0" w:color="auto"/>
        <w:right w:val="none" w:sz="0" w:space="0" w:color="auto"/>
      </w:divBdr>
    </w:div>
    <w:div w:id="1080980308">
      <w:bodyDiv w:val="1"/>
      <w:marLeft w:val="0"/>
      <w:marRight w:val="0"/>
      <w:marTop w:val="0"/>
      <w:marBottom w:val="0"/>
      <w:divBdr>
        <w:top w:val="none" w:sz="0" w:space="0" w:color="auto"/>
        <w:left w:val="none" w:sz="0" w:space="0" w:color="auto"/>
        <w:bottom w:val="none" w:sz="0" w:space="0" w:color="auto"/>
        <w:right w:val="none" w:sz="0" w:space="0" w:color="auto"/>
      </w:divBdr>
    </w:div>
    <w:div w:id="1218513769">
      <w:bodyDiv w:val="1"/>
      <w:marLeft w:val="0"/>
      <w:marRight w:val="0"/>
      <w:marTop w:val="0"/>
      <w:marBottom w:val="0"/>
      <w:divBdr>
        <w:top w:val="none" w:sz="0" w:space="0" w:color="auto"/>
        <w:left w:val="none" w:sz="0" w:space="0" w:color="auto"/>
        <w:bottom w:val="none" w:sz="0" w:space="0" w:color="auto"/>
        <w:right w:val="none" w:sz="0" w:space="0" w:color="auto"/>
      </w:divBdr>
      <w:divsChild>
        <w:div w:id="44716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0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6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538727">
          <w:blockQuote w:val="1"/>
          <w:marLeft w:val="720"/>
          <w:marRight w:val="720"/>
          <w:marTop w:val="100"/>
          <w:marBottom w:val="100"/>
          <w:divBdr>
            <w:top w:val="none" w:sz="0" w:space="0" w:color="auto"/>
            <w:left w:val="none" w:sz="0" w:space="0" w:color="auto"/>
            <w:bottom w:val="none" w:sz="0" w:space="0" w:color="auto"/>
            <w:right w:val="none" w:sz="0" w:space="0" w:color="auto"/>
          </w:divBdr>
        </w:div>
        <w:div w:id="907497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70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0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9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1435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ai-nguyen-moi-truong/decree-136-2020-nd-cp-providing-guidelines-for-a-number-of-articles-of-law-on-fire-prevention-and-fighting-4622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2023-10-31T01:05:00Z</dcterms:created>
  <dcterms:modified xsi:type="dcterms:W3CDTF">2023-10-31T03:35:00Z</dcterms:modified>
</cp:coreProperties>
</file>