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jc w:val="center"/>
        <w:tblLayout w:type="fixed"/>
        <w:tblLook w:val="0000" w:firstRow="0" w:lastRow="0" w:firstColumn="0" w:lastColumn="0" w:noHBand="0" w:noVBand="0"/>
      </w:tblPr>
      <w:tblGrid>
        <w:gridCol w:w="4158"/>
        <w:gridCol w:w="5448"/>
      </w:tblGrid>
      <w:tr w:rsidR="00DB7C2F" w:rsidRPr="00F05E6D" w14:paraId="356D8715" w14:textId="77777777" w:rsidTr="003D11DC">
        <w:trPr>
          <w:trHeight w:val="55"/>
          <w:jc w:val="center"/>
        </w:trPr>
        <w:tc>
          <w:tcPr>
            <w:tcW w:w="4158" w:type="dxa"/>
            <w:shd w:val="clear" w:color="auto" w:fill="auto"/>
          </w:tcPr>
          <w:p w14:paraId="48B165ED" w14:textId="77777777" w:rsidR="00D75F74" w:rsidRPr="00F05E6D" w:rsidRDefault="00D75F74" w:rsidP="00E3566B">
            <w:pPr>
              <w:spacing w:before="120" w:line="360" w:lineRule="exact"/>
              <w:jc w:val="center"/>
              <w:rPr>
                <w:b/>
              </w:rPr>
            </w:pPr>
            <w:r w:rsidRPr="00F05E6D">
              <w:rPr>
                <w:b/>
              </w:rPr>
              <w:t>QUỐC HỘI</w:t>
            </w:r>
          </w:p>
          <w:p w14:paraId="58A00951" w14:textId="75E6D6F9" w:rsidR="00235E8D" w:rsidRPr="00F05E6D" w:rsidRDefault="00630C69" w:rsidP="00F05E6D">
            <w:pPr>
              <w:spacing w:before="120" w:line="360" w:lineRule="exact"/>
              <w:jc w:val="center"/>
              <w:rPr>
                <w:b/>
                <w:bCs/>
                <w:sz w:val="28"/>
                <w:szCs w:val="28"/>
              </w:rPr>
            </w:pPr>
            <w:r>
              <w:rPr>
                <w:noProof/>
                <w:sz w:val="26"/>
                <w:szCs w:val="26"/>
              </w:rPr>
              <mc:AlternateContent>
                <mc:Choice Requires="wps">
                  <w:drawing>
                    <wp:anchor distT="4294967295" distB="4294967295" distL="114300" distR="114300" simplePos="0" relativeHeight="251658240" behindDoc="0" locked="0" layoutInCell="1" allowOverlap="1" wp14:anchorId="51DDCFD2" wp14:editId="457A8008">
                      <wp:simplePos x="0" y="0"/>
                      <wp:positionH relativeFrom="column">
                        <wp:posOffset>917575</wp:posOffset>
                      </wp:positionH>
                      <wp:positionV relativeFrom="paragraph">
                        <wp:posOffset>25399</wp:posOffset>
                      </wp:positionV>
                      <wp:extent cx="687705" cy="0"/>
                      <wp:effectExtent l="19050" t="1905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AB6E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25pt,2pt" to="12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" strokeweight=".26mm">
                      <v:stroke joinstyle="miter" endcap="square"/>
                    </v:line>
                  </w:pict>
                </mc:Fallback>
              </mc:AlternateContent>
            </w:r>
            <w:r w:rsidR="00D75F74" w:rsidRPr="00F05E6D">
              <w:rPr>
                <w:sz w:val="26"/>
                <w:szCs w:val="26"/>
              </w:rPr>
              <w:t>Nghị quyết số</w:t>
            </w:r>
            <w:r w:rsidR="005E0E55" w:rsidRPr="00F05E6D">
              <w:rPr>
                <w:sz w:val="26"/>
                <w:szCs w:val="26"/>
              </w:rPr>
              <w:t>:</w:t>
            </w:r>
            <w:r w:rsidR="00732AA6" w:rsidRPr="00F05E6D">
              <w:rPr>
                <w:sz w:val="26"/>
                <w:szCs w:val="26"/>
              </w:rPr>
              <w:t xml:space="preserve"> </w:t>
            </w:r>
            <w:r w:rsidR="005F0724">
              <w:rPr>
                <w:sz w:val="26"/>
                <w:szCs w:val="26"/>
              </w:rPr>
              <w:t>159</w:t>
            </w:r>
            <w:r w:rsidR="001A081E" w:rsidRPr="00F05E6D">
              <w:rPr>
                <w:sz w:val="26"/>
                <w:szCs w:val="26"/>
              </w:rPr>
              <w:t>/</w:t>
            </w:r>
            <w:r w:rsidR="00B3169C" w:rsidRPr="00F05E6D">
              <w:rPr>
                <w:sz w:val="26"/>
                <w:szCs w:val="26"/>
              </w:rPr>
              <w:t>20</w:t>
            </w:r>
            <w:r w:rsidR="0039713C" w:rsidRPr="00F05E6D">
              <w:rPr>
                <w:sz w:val="26"/>
                <w:szCs w:val="26"/>
              </w:rPr>
              <w:t>2</w:t>
            </w:r>
            <w:r w:rsidR="00F05E6D" w:rsidRPr="00F05E6D">
              <w:rPr>
                <w:sz w:val="26"/>
                <w:szCs w:val="26"/>
              </w:rPr>
              <w:t>4</w:t>
            </w:r>
            <w:r w:rsidR="00D75F74" w:rsidRPr="00F05E6D">
              <w:rPr>
                <w:sz w:val="26"/>
                <w:szCs w:val="26"/>
              </w:rPr>
              <w:t>/QH1</w:t>
            </w:r>
            <w:r w:rsidR="00320B0A" w:rsidRPr="00F05E6D">
              <w:rPr>
                <w:sz w:val="26"/>
                <w:szCs w:val="26"/>
              </w:rPr>
              <w:t>5</w:t>
            </w:r>
          </w:p>
        </w:tc>
        <w:tc>
          <w:tcPr>
            <w:tcW w:w="5448" w:type="dxa"/>
            <w:shd w:val="clear" w:color="auto" w:fill="auto"/>
          </w:tcPr>
          <w:p w14:paraId="0E924890" w14:textId="77777777" w:rsidR="00D75F74" w:rsidRPr="00F05E6D" w:rsidRDefault="00D75F74" w:rsidP="00E3566B">
            <w:pPr>
              <w:spacing w:before="120" w:line="360" w:lineRule="exact"/>
              <w:ind w:hanging="125"/>
              <w:jc w:val="center"/>
              <w:rPr>
                <w:b/>
                <w:bCs/>
              </w:rPr>
            </w:pPr>
            <w:r w:rsidRPr="00F05E6D">
              <w:rPr>
                <w:b/>
                <w:bCs/>
              </w:rPr>
              <w:t xml:space="preserve">CỘNG </w:t>
            </w:r>
            <w:r w:rsidR="001918C7" w:rsidRPr="00F05E6D">
              <w:rPr>
                <w:b/>
                <w:bCs/>
              </w:rPr>
              <w:t>HÒA</w:t>
            </w:r>
            <w:r w:rsidRPr="00F05E6D">
              <w:rPr>
                <w:b/>
                <w:bCs/>
              </w:rPr>
              <w:t xml:space="preserve"> XÃ HỘI CHỦ NGHĨA VIỆT NAM</w:t>
            </w:r>
          </w:p>
          <w:p w14:paraId="1CF67184" w14:textId="77777777" w:rsidR="00CD07EB" w:rsidRPr="00F05E6D" w:rsidRDefault="00630C69">
            <w:pPr>
              <w:spacing w:line="360" w:lineRule="exact"/>
              <w:ind w:hanging="125"/>
              <w:jc w:val="center"/>
              <w:rPr>
                <w:sz w:val="28"/>
                <w:szCs w:val="28"/>
              </w:rPr>
            </w:pPr>
            <w:r>
              <w:rPr>
                <w:noProof/>
                <w:sz w:val="28"/>
                <w:szCs w:val="28"/>
              </w:rPr>
              <mc:AlternateContent>
                <mc:Choice Requires="wps">
                  <w:drawing>
                    <wp:anchor distT="4294967295" distB="4294967295" distL="114300" distR="114300" simplePos="0" relativeHeight="251657216" behindDoc="0" locked="0" layoutInCell="1" allowOverlap="1" wp14:anchorId="078E9D75" wp14:editId="053B5039">
                      <wp:simplePos x="0" y="0"/>
                      <wp:positionH relativeFrom="column">
                        <wp:posOffset>536575</wp:posOffset>
                      </wp:positionH>
                      <wp:positionV relativeFrom="paragraph">
                        <wp:posOffset>264159</wp:posOffset>
                      </wp:positionV>
                      <wp:extent cx="2167890" cy="0"/>
                      <wp:effectExtent l="19050" t="19050" r="22860" b="19050"/>
                      <wp:wrapNone/>
                      <wp:docPr id="16034210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A4DDD"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20.8pt" to="212.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" strokeweight=".26mm">
                      <v:stroke joinstyle="miter" endcap="square"/>
                    </v:line>
                  </w:pict>
                </mc:Fallback>
              </mc:AlternateContent>
            </w:r>
            <w:r w:rsidR="00D75F74" w:rsidRPr="00F05E6D">
              <w:rPr>
                <w:b/>
                <w:bCs/>
                <w:sz w:val="28"/>
                <w:szCs w:val="28"/>
              </w:rPr>
              <w:t>Độc lập - Tự do - Hạnh phúc</w:t>
            </w:r>
          </w:p>
        </w:tc>
      </w:tr>
    </w:tbl>
    <w:p w14:paraId="45E3F7F6" w14:textId="1BE84263" w:rsidR="00CD07EB" w:rsidRPr="00F05E6D" w:rsidRDefault="00D75F74">
      <w:pPr>
        <w:spacing w:before="600"/>
        <w:jc w:val="center"/>
        <w:rPr>
          <w:b/>
          <w:sz w:val="28"/>
          <w:szCs w:val="28"/>
        </w:rPr>
      </w:pPr>
      <w:r w:rsidRPr="00F05E6D">
        <w:rPr>
          <w:b/>
          <w:sz w:val="28"/>
          <w:szCs w:val="28"/>
        </w:rPr>
        <w:t>NGHỊ QUYẾT</w:t>
      </w:r>
    </w:p>
    <w:p w14:paraId="55AC6F35" w14:textId="77777777" w:rsidR="00D75F74" w:rsidRPr="00F05E6D" w:rsidRDefault="00D75F74" w:rsidP="00AD4284">
      <w:pPr>
        <w:spacing w:before="120" w:line="264" w:lineRule="auto"/>
        <w:jc w:val="center"/>
        <w:rPr>
          <w:b/>
          <w:sz w:val="28"/>
          <w:szCs w:val="28"/>
        </w:rPr>
      </w:pPr>
      <w:r w:rsidRPr="00F05E6D">
        <w:rPr>
          <w:b/>
          <w:sz w:val="28"/>
          <w:szCs w:val="28"/>
        </w:rPr>
        <w:t xml:space="preserve">Về dự toán ngân sách nhà nước năm </w:t>
      </w:r>
      <w:r w:rsidR="00B3169C" w:rsidRPr="00F05E6D">
        <w:rPr>
          <w:b/>
          <w:sz w:val="28"/>
          <w:szCs w:val="28"/>
        </w:rPr>
        <w:t>202</w:t>
      </w:r>
      <w:r w:rsidR="00F05E6D" w:rsidRPr="00F05E6D">
        <w:rPr>
          <w:b/>
          <w:sz w:val="28"/>
          <w:szCs w:val="28"/>
        </w:rPr>
        <w:t>5</w:t>
      </w:r>
    </w:p>
    <w:p w14:paraId="53333219" w14:textId="77777777" w:rsidR="00CD07EB" w:rsidRPr="00F05E6D" w:rsidRDefault="00D75F74" w:rsidP="00463A17">
      <w:pPr>
        <w:spacing w:before="360" w:after="360"/>
        <w:jc w:val="center"/>
        <w:rPr>
          <w:b/>
          <w:sz w:val="28"/>
          <w:szCs w:val="28"/>
        </w:rPr>
      </w:pPr>
      <w:r w:rsidRPr="00F05E6D">
        <w:rPr>
          <w:b/>
          <w:sz w:val="28"/>
          <w:szCs w:val="28"/>
        </w:rPr>
        <w:t>QUỐC HỘI</w:t>
      </w:r>
    </w:p>
    <w:p w14:paraId="6E15CDDC" w14:textId="77777777" w:rsidR="00D75F74" w:rsidRPr="00F05E6D" w:rsidRDefault="00D75F74" w:rsidP="004C2667">
      <w:pPr>
        <w:pStyle w:val="Heading2"/>
        <w:spacing w:before="120" w:after="0" w:line="340" w:lineRule="exact"/>
        <w:rPr>
          <w:rFonts w:ascii="Times New Roman" w:hAnsi="Times New Roman"/>
          <w:b w:val="0"/>
          <w:i/>
          <w:spacing w:val="-2"/>
          <w:sz w:val="28"/>
          <w:szCs w:val="28"/>
          <w:lang w:val="en-US"/>
        </w:rPr>
      </w:pPr>
      <w:r w:rsidRPr="00F05E6D">
        <w:rPr>
          <w:rFonts w:ascii="Times New Roman" w:hAnsi="Times New Roman"/>
          <w:b w:val="0"/>
          <w:i/>
          <w:spacing w:val="-2"/>
          <w:sz w:val="28"/>
          <w:szCs w:val="28"/>
          <w:lang w:val="en-US"/>
        </w:rPr>
        <w:t xml:space="preserve">Căn cứ Hiến pháp nước Cộng </w:t>
      </w:r>
      <w:r w:rsidR="00B9125E" w:rsidRPr="00F05E6D">
        <w:rPr>
          <w:rFonts w:ascii="Times New Roman" w:hAnsi="Times New Roman"/>
          <w:b w:val="0"/>
          <w:i/>
          <w:spacing w:val="-2"/>
          <w:sz w:val="28"/>
          <w:szCs w:val="28"/>
          <w:lang w:val="en-US"/>
        </w:rPr>
        <w:t>hòa</w:t>
      </w:r>
      <w:r w:rsidRPr="00F05E6D">
        <w:rPr>
          <w:rFonts w:ascii="Times New Roman" w:hAnsi="Times New Roman"/>
          <w:b w:val="0"/>
          <w:i/>
          <w:spacing w:val="-2"/>
          <w:sz w:val="28"/>
          <w:szCs w:val="28"/>
          <w:lang w:val="en-US"/>
        </w:rPr>
        <w:t xml:space="preserve"> xã hội chủ nghĩa Việt Nam;</w:t>
      </w:r>
    </w:p>
    <w:p w14:paraId="55875686" w14:textId="77777777" w:rsidR="000D2147" w:rsidRPr="00F05E6D" w:rsidRDefault="000D2147" w:rsidP="004C2667">
      <w:pPr>
        <w:spacing w:before="120" w:line="340" w:lineRule="exact"/>
        <w:ind w:firstLine="720"/>
        <w:jc w:val="both"/>
        <w:rPr>
          <w:i/>
          <w:sz w:val="28"/>
          <w:szCs w:val="28"/>
        </w:rPr>
      </w:pPr>
      <w:r w:rsidRPr="00F05E6D">
        <w:rPr>
          <w:i/>
          <w:noProof/>
          <w:sz w:val="28"/>
          <w:szCs w:val="28"/>
          <w:lang w:val="vi-VN"/>
        </w:rPr>
        <w:t xml:space="preserve">Căn cứ Luật Ngân sách nhà nước số 83/2015/QH13 </w:t>
      </w:r>
      <w:bookmarkStart w:id="0" w:name="_Hlk86669594"/>
      <w:r w:rsidRPr="00F05E6D">
        <w:rPr>
          <w:i/>
          <w:noProof/>
          <w:sz w:val="28"/>
          <w:szCs w:val="28"/>
          <w:lang w:val="vi-VN"/>
        </w:rPr>
        <w:t>đã được sửa đổi, bổ sung một số điều theo Luật số 59/2020/QH14</w:t>
      </w:r>
      <w:bookmarkEnd w:id="0"/>
      <w:r w:rsidRPr="00F05E6D">
        <w:rPr>
          <w:i/>
          <w:noProof/>
          <w:sz w:val="28"/>
          <w:szCs w:val="28"/>
          <w:lang w:val="en-GB"/>
        </w:rPr>
        <w:t>;</w:t>
      </w:r>
    </w:p>
    <w:p w14:paraId="440F3835" w14:textId="77777777" w:rsidR="00D75F74" w:rsidRPr="00F05E6D" w:rsidRDefault="00D75F74" w:rsidP="004C2667">
      <w:pPr>
        <w:spacing w:before="120" w:line="340" w:lineRule="exact"/>
        <w:ind w:firstLine="720"/>
        <w:jc w:val="both"/>
        <w:rPr>
          <w:i/>
          <w:sz w:val="28"/>
          <w:szCs w:val="28"/>
        </w:rPr>
      </w:pPr>
      <w:r w:rsidRPr="00F05E6D">
        <w:rPr>
          <w:i/>
          <w:sz w:val="28"/>
          <w:szCs w:val="28"/>
        </w:rPr>
        <w:t xml:space="preserve">Trên cơ sở xem xét Báo cáo số </w:t>
      </w:r>
      <w:r w:rsidR="00E21D31">
        <w:rPr>
          <w:i/>
          <w:sz w:val="28"/>
          <w:szCs w:val="28"/>
        </w:rPr>
        <w:t>40</w:t>
      </w:r>
      <w:r w:rsidR="000D2147" w:rsidRPr="00F05E6D">
        <w:rPr>
          <w:i/>
          <w:sz w:val="28"/>
          <w:szCs w:val="28"/>
        </w:rPr>
        <w:t>/</w:t>
      </w:r>
      <w:r w:rsidRPr="00F05E6D">
        <w:rPr>
          <w:i/>
          <w:sz w:val="28"/>
          <w:szCs w:val="28"/>
        </w:rPr>
        <w:t xml:space="preserve">BC-CP ngày </w:t>
      </w:r>
      <w:r w:rsidR="00756D77">
        <w:rPr>
          <w:i/>
          <w:sz w:val="28"/>
          <w:szCs w:val="28"/>
        </w:rPr>
        <w:t>16</w:t>
      </w:r>
      <w:r w:rsidR="00756D77" w:rsidRPr="00F05E6D">
        <w:rPr>
          <w:i/>
          <w:sz w:val="28"/>
          <w:szCs w:val="28"/>
        </w:rPr>
        <w:t xml:space="preserve"> </w:t>
      </w:r>
      <w:r w:rsidRPr="00F05E6D">
        <w:rPr>
          <w:i/>
          <w:sz w:val="28"/>
          <w:szCs w:val="28"/>
        </w:rPr>
        <w:t xml:space="preserve">tháng 10 năm </w:t>
      </w:r>
      <w:r w:rsidR="00B3169C" w:rsidRPr="00F05E6D">
        <w:rPr>
          <w:i/>
          <w:sz w:val="28"/>
          <w:szCs w:val="28"/>
        </w:rPr>
        <w:t>20</w:t>
      </w:r>
      <w:r w:rsidR="00EA3B6A" w:rsidRPr="00F05E6D">
        <w:rPr>
          <w:i/>
          <w:sz w:val="28"/>
          <w:szCs w:val="28"/>
        </w:rPr>
        <w:t>2</w:t>
      </w:r>
      <w:r w:rsidR="00F05E6D" w:rsidRPr="00F05E6D">
        <w:rPr>
          <w:i/>
          <w:sz w:val="28"/>
          <w:szCs w:val="28"/>
        </w:rPr>
        <w:t>4</w:t>
      </w:r>
      <w:r w:rsidR="00F367E5">
        <w:rPr>
          <w:i/>
          <w:sz w:val="28"/>
          <w:szCs w:val="28"/>
        </w:rPr>
        <w:t xml:space="preserve">, </w:t>
      </w:r>
      <w:r w:rsidR="00F367E5" w:rsidRPr="00F05E6D">
        <w:rPr>
          <w:i/>
          <w:sz w:val="28"/>
          <w:szCs w:val="28"/>
        </w:rPr>
        <w:t xml:space="preserve">Báo cáo số </w:t>
      </w:r>
      <w:r w:rsidR="00F367E5">
        <w:rPr>
          <w:i/>
          <w:sz w:val="28"/>
          <w:szCs w:val="28"/>
        </w:rPr>
        <w:t>652</w:t>
      </w:r>
      <w:r w:rsidR="00F367E5" w:rsidRPr="00F05E6D">
        <w:rPr>
          <w:i/>
          <w:sz w:val="28"/>
          <w:szCs w:val="28"/>
        </w:rPr>
        <w:t xml:space="preserve">/BC-CP ngày </w:t>
      </w:r>
      <w:r w:rsidR="00CF02D1">
        <w:rPr>
          <w:i/>
          <w:sz w:val="28"/>
          <w:szCs w:val="28"/>
        </w:rPr>
        <w:t>17</w:t>
      </w:r>
      <w:r w:rsidR="00F367E5" w:rsidRPr="00F05E6D">
        <w:rPr>
          <w:i/>
          <w:sz w:val="28"/>
          <w:szCs w:val="28"/>
        </w:rPr>
        <w:t xml:space="preserve"> tháng 10 năm 2024</w:t>
      </w:r>
      <w:r w:rsidR="00D647DE">
        <w:rPr>
          <w:i/>
          <w:sz w:val="28"/>
          <w:szCs w:val="28"/>
        </w:rPr>
        <w:t>, Tờ trình số 682/TTr-CP ngày 19 tháng 10 năm 2024, Tờ trình số 697/TTr-CP ngày 23 tháng 10 năm 2024, Tờ trình số 701/TTr-CP ngày 24 tháng 10 năm 2024</w:t>
      </w:r>
      <w:r w:rsidR="00D647DE" w:rsidRPr="00D647DE">
        <w:rPr>
          <w:i/>
          <w:sz w:val="28"/>
          <w:szCs w:val="28"/>
        </w:rPr>
        <w:t xml:space="preserve"> </w:t>
      </w:r>
      <w:r w:rsidR="00D647DE" w:rsidRPr="00F05E6D">
        <w:rPr>
          <w:i/>
          <w:sz w:val="28"/>
          <w:szCs w:val="28"/>
        </w:rPr>
        <w:t>của Chính phủ</w:t>
      </w:r>
      <w:r w:rsidRPr="00F05E6D">
        <w:rPr>
          <w:i/>
          <w:sz w:val="28"/>
          <w:szCs w:val="28"/>
        </w:rPr>
        <w:t xml:space="preserve">; Báo cáo thẩm tra số </w:t>
      </w:r>
      <w:r w:rsidR="007C5C99">
        <w:rPr>
          <w:i/>
          <w:sz w:val="28"/>
          <w:szCs w:val="28"/>
        </w:rPr>
        <w:t>155</w:t>
      </w:r>
      <w:r w:rsidR="007C5C99" w:rsidRPr="00F05E6D">
        <w:rPr>
          <w:i/>
          <w:sz w:val="28"/>
          <w:szCs w:val="28"/>
        </w:rPr>
        <w:t>/</w:t>
      </w:r>
      <w:r w:rsidRPr="00F05E6D">
        <w:rPr>
          <w:i/>
          <w:sz w:val="28"/>
          <w:szCs w:val="28"/>
        </w:rPr>
        <w:t>BC-UBTCNS1</w:t>
      </w:r>
      <w:r w:rsidR="00320B0A" w:rsidRPr="00F05E6D">
        <w:rPr>
          <w:i/>
          <w:sz w:val="28"/>
          <w:szCs w:val="28"/>
        </w:rPr>
        <w:t>5</w:t>
      </w:r>
      <w:r w:rsidR="000D2147" w:rsidRPr="00F05E6D">
        <w:rPr>
          <w:i/>
          <w:sz w:val="28"/>
          <w:szCs w:val="28"/>
        </w:rPr>
        <w:t>-m</w:t>
      </w:r>
      <w:r w:rsidR="00D647DE" w:rsidRPr="00D647DE">
        <w:rPr>
          <w:i/>
          <w:sz w:val="28"/>
          <w:szCs w:val="28"/>
        </w:rPr>
        <w:t xml:space="preserve"> </w:t>
      </w:r>
      <w:r w:rsidR="00D647DE" w:rsidRPr="00F05E6D">
        <w:rPr>
          <w:i/>
          <w:sz w:val="28"/>
          <w:szCs w:val="28"/>
        </w:rPr>
        <w:t xml:space="preserve">ngày </w:t>
      </w:r>
      <w:r w:rsidR="00D647DE">
        <w:rPr>
          <w:i/>
          <w:sz w:val="28"/>
          <w:szCs w:val="28"/>
        </w:rPr>
        <w:t>20</w:t>
      </w:r>
      <w:r w:rsidR="00D647DE" w:rsidRPr="00F05E6D">
        <w:rPr>
          <w:i/>
          <w:sz w:val="28"/>
          <w:szCs w:val="28"/>
        </w:rPr>
        <w:t xml:space="preserve"> tháng 10 năm 2024</w:t>
      </w:r>
      <w:r w:rsidR="00D647DE">
        <w:rPr>
          <w:i/>
          <w:sz w:val="28"/>
          <w:szCs w:val="28"/>
        </w:rPr>
        <w:t xml:space="preserve">, </w:t>
      </w:r>
      <w:r w:rsidR="00D647DE" w:rsidRPr="00F05E6D">
        <w:rPr>
          <w:i/>
          <w:sz w:val="28"/>
          <w:szCs w:val="28"/>
        </w:rPr>
        <w:t xml:space="preserve">Báo cáo thẩm tra số </w:t>
      </w:r>
      <w:r w:rsidR="00D647DE">
        <w:rPr>
          <w:i/>
          <w:sz w:val="28"/>
          <w:szCs w:val="28"/>
        </w:rPr>
        <w:t>2540</w:t>
      </w:r>
      <w:r w:rsidR="00D647DE" w:rsidRPr="00F05E6D">
        <w:rPr>
          <w:i/>
          <w:sz w:val="28"/>
          <w:szCs w:val="28"/>
        </w:rPr>
        <w:t xml:space="preserve">/BC-UBTCNS15 ngày </w:t>
      </w:r>
      <w:r w:rsidR="00D647DE">
        <w:rPr>
          <w:i/>
          <w:sz w:val="28"/>
          <w:szCs w:val="28"/>
        </w:rPr>
        <w:t>20</w:t>
      </w:r>
      <w:r w:rsidR="00D647DE" w:rsidRPr="00F05E6D">
        <w:rPr>
          <w:i/>
          <w:sz w:val="28"/>
          <w:szCs w:val="28"/>
        </w:rPr>
        <w:t xml:space="preserve"> tháng 10 năm 2024</w:t>
      </w:r>
      <w:r w:rsidR="00D647DE">
        <w:rPr>
          <w:i/>
          <w:sz w:val="28"/>
          <w:szCs w:val="28"/>
        </w:rPr>
        <w:t xml:space="preserve">, </w:t>
      </w:r>
      <w:r w:rsidR="00D647DE" w:rsidRPr="00F05E6D">
        <w:rPr>
          <w:i/>
          <w:sz w:val="28"/>
          <w:szCs w:val="28"/>
        </w:rPr>
        <w:t xml:space="preserve">Báo cáo thẩm tra số </w:t>
      </w:r>
      <w:r w:rsidR="00D647DE">
        <w:rPr>
          <w:i/>
          <w:sz w:val="28"/>
          <w:szCs w:val="28"/>
        </w:rPr>
        <w:t>2562</w:t>
      </w:r>
      <w:r w:rsidR="00D647DE" w:rsidRPr="00F05E6D">
        <w:rPr>
          <w:i/>
          <w:sz w:val="28"/>
          <w:szCs w:val="28"/>
        </w:rPr>
        <w:t xml:space="preserve">/BC-UBTCNS15 ngày </w:t>
      </w:r>
      <w:r w:rsidR="00D647DE">
        <w:rPr>
          <w:i/>
          <w:sz w:val="28"/>
          <w:szCs w:val="28"/>
        </w:rPr>
        <w:t>25</w:t>
      </w:r>
      <w:r w:rsidR="00D647DE" w:rsidRPr="00F05E6D">
        <w:rPr>
          <w:i/>
          <w:sz w:val="28"/>
          <w:szCs w:val="28"/>
        </w:rPr>
        <w:t xml:space="preserve"> tháng 10 năm 2024</w:t>
      </w:r>
      <w:r w:rsidR="00D647DE">
        <w:rPr>
          <w:i/>
          <w:sz w:val="28"/>
          <w:szCs w:val="28"/>
        </w:rPr>
        <w:t>,</w:t>
      </w:r>
      <w:r w:rsidR="005A22DD">
        <w:rPr>
          <w:i/>
          <w:sz w:val="28"/>
          <w:szCs w:val="28"/>
        </w:rPr>
        <w:t xml:space="preserve"> </w:t>
      </w:r>
      <w:r w:rsidR="00D647DE" w:rsidRPr="00F05E6D">
        <w:rPr>
          <w:i/>
          <w:sz w:val="28"/>
          <w:szCs w:val="28"/>
        </w:rPr>
        <w:t xml:space="preserve">Báo cáo thẩm tra số </w:t>
      </w:r>
      <w:r w:rsidR="00D647DE">
        <w:rPr>
          <w:i/>
          <w:sz w:val="28"/>
          <w:szCs w:val="28"/>
        </w:rPr>
        <w:t>2563</w:t>
      </w:r>
      <w:r w:rsidR="00D647DE" w:rsidRPr="00F05E6D">
        <w:rPr>
          <w:i/>
          <w:sz w:val="28"/>
          <w:szCs w:val="28"/>
        </w:rPr>
        <w:t xml:space="preserve">/BC-UBTCNS15 ngày </w:t>
      </w:r>
      <w:r w:rsidR="00D647DE">
        <w:rPr>
          <w:i/>
          <w:sz w:val="28"/>
          <w:szCs w:val="28"/>
        </w:rPr>
        <w:t>25</w:t>
      </w:r>
      <w:r w:rsidR="00D647DE" w:rsidRPr="00F05E6D">
        <w:rPr>
          <w:i/>
          <w:sz w:val="28"/>
          <w:szCs w:val="28"/>
        </w:rPr>
        <w:t xml:space="preserve"> tháng 10 năm 2024</w:t>
      </w:r>
      <w:r w:rsidR="00EA3B6A" w:rsidRPr="00F05E6D">
        <w:rPr>
          <w:i/>
          <w:sz w:val="28"/>
          <w:szCs w:val="28"/>
        </w:rPr>
        <w:t xml:space="preserve"> </w:t>
      </w:r>
      <w:r w:rsidRPr="00F05E6D">
        <w:rPr>
          <w:i/>
          <w:sz w:val="28"/>
          <w:szCs w:val="28"/>
        </w:rPr>
        <w:t>của Ủy ban Tài chính, Ngân sách</w:t>
      </w:r>
      <w:r w:rsidRPr="00F05E6D">
        <w:rPr>
          <w:i/>
          <w:spacing w:val="-4"/>
          <w:sz w:val="28"/>
          <w:szCs w:val="28"/>
        </w:rPr>
        <w:t>;</w:t>
      </w:r>
      <w:r w:rsidR="00320B0A" w:rsidRPr="00F05E6D">
        <w:rPr>
          <w:i/>
          <w:spacing w:val="-4"/>
          <w:sz w:val="28"/>
          <w:szCs w:val="28"/>
        </w:rPr>
        <w:t xml:space="preserve"> </w:t>
      </w:r>
      <w:r w:rsidRPr="00F05E6D">
        <w:rPr>
          <w:i/>
          <w:spacing w:val="-4"/>
          <w:sz w:val="28"/>
          <w:szCs w:val="28"/>
        </w:rPr>
        <w:t xml:space="preserve">Báo cáo tiếp thu, giải trình số </w:t>
      </w:r>
      <w:r w:rsidR="00724E05">
        <w:rPr>
          <w:i/>
          <w:spacing w:val="-4"/>
          <w:sz w:val="28"/>
          <w:szCs w:val="28"/>
        </w:rPr>
        <w:t>1052</w:t>
      </w:r>
      <w:r w:rsidR="00724E05" w:rsidRPr="00F05E6D">
        <w:rPr>
          <w:i/>
          <w:spacing w:val="-4"/>
          <w:sz w:val="28"/>
          <w:szCs w:val="28"/>
        </w:rPr>
        <w:t>/</w:t>
      </w:r>
      <w:r w:rsidRPr="00F05E6D">
        <w:rPr>
          <w:i/>
          <w:spacing w:val="-4"/>
          <w:sz w:val="28"/>
          <w:szCs w:val="28"/>
        </w:rPr>
        <w:t>BC-UBTVQH1</w:t>
      </w:r>
      <w:r w:rsidR="00320B0A" w:rsidRPr="00F05E6D">
        <w:rPr>
          <w:i/>
          <w:spacing w:val="-4"/>
          <w:sz w:val="28"/>
          <w:szCs w:val="28"/>
        </w:rPr>
        <w:t>5</w:t>
      </w:r>
      <w:r w:rsidRPr="00F05E6D">
        <w:rPr>
          <w:i/>
          <w:spacing w:val="-4"/>
          <w:sz w:val="28"/>
          <w:szCs w:val="28"/>
        </w:rPr>
        <w:t xml:space="preserve"> ngày</w:t>
      </w:r>
      <w:r w:rsidR="00370E5C" w:rsidRPr="00F05E6D">
        <w:rPr>
          <w:i/>
          <w:spacing w:val="-4"/>
          <w:sz w:val="28"/>
          <w:szCs w:val="28"/>
        </w:rPr>
        <w:t xml:space="preserve"> </w:t>
      </w:r>
      <w:r w:rsidR="00724E05">
        <w:rPr>
          <w:i/>
          <w:spacing w:val="-4"/>
          <w:sz w:val="28"/>
          <w:szCs w:val="28"/>
        </w:rPr>
        <w:t>12</w:t>
      </w:r>
      <w:r w:rsidR="00724E05" w:rsidRPr="00F05E6D">
        <w:rPr>
          <w:i/>
          <w:spacing w:val="-4"/>
          <w:sz w:val="28"/>
          <w:szCs w:val="28"/>
        </w:rPr>
        <w:t xml:space="preserve"> </w:t>
      </w:r>
      <w:r w:rsidRPr="00F05E6D">
        <w:rPr>
          <w:i/>
          <w:spacing w:val="-4"/>
          <w:sz w:val="28"/>
          <w:szCs w:val="28"/>
        </w:rPr>
        <w:t xml:space="preserve">tháng 11 năm </w:t>
      </w:r>
      <w:r w:rsidR="00B3169C" w:rsidRPr="00F05E6D">
        <w:rPr>
          <w:i/>
          <w:spacing w:val="-4"/>
          <w:sz w:val="28"/>
          <w:szCs w:val="28"/>
        </w:rPr>
        <w:t>20</w:t>
      </w:r>
      <w:r w:rsidR="00EA3B6A" w:rsidRPr="00F05E6D">
        <w:rPr>
          <w:i/>
          <w:spacing w:val="-4"/>
          <w:sz w:val="28"/>
          <w:szCs w:val="28"/>
        </w:rPr>
        <w:t>2</w:t>
      </w:r>
      <w:r w:rsidR="00F05E6D" w:rsidRPr="00F05E6D">
        <w:rPr>
          <w:i/>
          <w:spacing w:val="-4"/>
          <w:sz w:val="28"/>
          <w:szCs w:val="28"/>
        </w:rPr>
        <w:t>4</w:t>
      </w:r>
      <w:r w:rsidR="00B3169C" w:rsidRPr="00F05E6D">
        <w:rPr>
          <w:i/>
          <w:spacing w:val="-4"/>
          <w:sz w:val="28"/>
          <w:szCs w:val="28"/>
        </w:rPr>
        <w:t xml:space="preserve"> </w:t>
      </w:r>
      <w:r w:rsidRPr="00F05E6D">
        <w:rPr>
          <w:i/>
          <w:spacing w:val="-4"/>
          <w:sz w:val="28"/>
          <w:szCs w:val="28"/>
        </w:rPr>
        <w:t xml:space="preserve">của Ủy ban Thường vụ Quốc hội và ý kiến </w:t>
      </w:r>
      <w:r w:rsidR="00E245BD" w:rsidRPr="00F05E6D">
        <w:rPr>
          <w:i/>
          <w:spacing w:val="-4"/>
          <w:sz w:val="28"/>
          <w:szCs w:val="28"/>
        </w:rPr>
        <w:t>đ</w:t>
      </w:r>
      <w:r w:rsidRPr="00F05E6D">
        <w:rPr>
          <w:i/>
          <w:spacing w:val="-4"/>
          <w:sz w:val="28"/>
          <w:szCs w:val="28"/>
        </w:rPr>
        <w:t>ại biểu Quốc hội</w:t>
      </w:r>
      <w:r w:rsidRPr="00F05E6D">
        <w:rPr>
          <w:i/>
          <w:sz w:val="28"/>
          <w:szCs w:val="28"/>
        </w:rPr>
        <w:t>,</w:t>
      </w:r>
    </w:p>
    <w:p w14:paraId="16EC27D1" w14:textId="77777777" w:rsidR="00CD07EB" w:rsidRPr="00F05E6D" w:rsidRDefault="00D75F74" w:rsidP="004C2667">
      <w:pPr>
        <w:spacing w:before="120" w:line="340" w:lineRule="exact"/>
        <w:jc w:val="center"/>
        <w:rPr>
          <w:b/>
          <w:sz w:val="28"/>
          <w:szCs w:val="28"/>
        </w:rPr>
      </w:pPr>
      <w:r w:rsidRPr="00F05E6D">
        <w:rPr>
          <w:b/>
          <w:sz w:val="28"/>
          <w:szCs w:val="28"/>
        </w:rPr>
        <w:t>QUYẾT NGHỊ:</w:t>
      </w:r>
    </w:p>
    <w:p w14:paraId="7CC0393D" w14:textId="77777777" w:rsidR="00D75F74" w:rsidRPr="00F05E6D" w:rsidRDefault="00D75F74" w:rsidP="004C2667">
      <w:pPr>
        <w:widowControl w:val="0"/>
        <w:spacing w:before="120" w:line="340" w:lineRule="exact"/>
        <w:ind w:firstLine="567"/>
        <w:rPr>
          <w:b/>
          <w:sz w:val="28"/>
          <w:szCs w:val="28"/>
        </w:rPr>
      </w:pPr>
      <w:r w:rsidRPr="00F05E6D">
        <w:rPr>
          <w:b/>
          <w:sz w:val="28"/>
          <w:szCs w:val="28"/>
        </w:rPr>
        <w:t xml:space="preserve">Điều 1. Thông qua dự toán ngân sách nhà nước năm </w:t>
      </w:r>
      <w:r w:rsidR="00B3169C" w:rsidRPr="00F05E6D">
        <w:rPr>
          <w:b/>
          <w:sz w:val="28"/>
          <w:szCs w:val="28"/>
        </w:rPr>
        <w:t>202</w:t>
      </w:r>
      <w:r w:rsidR="00F05E6D">
        <w:rPr>
          <w:b/>
          <w:sz w:val="28"/>
          <w:szCs w:val="28"/>
        </w:rPr>
        <w:t>5</w:t>
      </w:r>
    </w:p>
    <w:p w14:paraId="7560E1D4" w14:textId="77777777" w:rsidR="00D75F74" w:rsidRPr="00D63378" w:rsidRDefault="00D75F74" w:rsidP="004C2667">
      <w:pPr>
        <w:pStyle w:val="BodyText22"/>
        <w:widowControl w:val="0"/>
        <w:overflowPunct/>
        <w:autoSpaceDE/>
        <w:autoSpaceDN/>
        <w:adjustRightInd/>
        <w:spacing w:before="120" w:line="340" w:lineRule="exact"/>
        <w:ind w:firstLine="567"/>
        <w:textAlignment w:val="auto"/>
        <w:rPr>
          <w:rFonts w:ascii="Times New Roman" w:hAnsi="Times New Roman"/>
        </w:rPr>
      </w:pPr>
      <w:r w:rsidRPr="00D63378">
        <w:rPr>
          <w:rFonts w:ascii="Times New Roman" w:hAnsi="Times New Roman"/>
        </w:rPr>
        <w:t xml:space="preserve">1. </w:t>
      </w:r>
      <w:r w:rsidR="00F73643" w:rsidRPr="00D63378">
        <w:rPr>
          <w:rFonts w:ascii="Times New Roman" w:hAnsi="Times New Roman"/>
        </w:rPr>
        <w:t>Số thu</w:t>
      </w:r>
      <w:r w:rsidRPr="00D63378">
        <w:rPr>
          <w:rFonts w:ascii="Times New Roman" w:hAnsi="Times New Roman"/>
        </w:rPr>
        <w:t xml:space="preserve"> ngân sách nhà nước là </w:t>
      </w:r>
      <w:r w:rsidR="00D63378" w:rsidRPr="00D63378">
        <w:rPr>
          <w:rFonts w:ascii="Times New Roman" w:hAnsi="Times New Roman"/>
          <w:b/>
        </w:rPr>
        <w:t>1.966.839</w:t>
      </w:r>
      <w:r w:rsidR="004E4BD7" w:rsidRPr="00D63378">
        <w:rPr>
          <w:rFonts w:ascii="Times New Roman" w:hAnsi="Times New Roman"/>
          <w:b/>
        </w:rPr>
        <w:t xml:space="preserve"> tỷ</w:t>
      </w:r>
      <w:r w:rsidR="00C36CD8" w:rsidRPr="00D63378">
        <w:rPr>
          <w:rFonts w:ascii="Times New Roman" w:hAnsi="Times New Roman"/>
          <w:b/>
        </w:rPr>
        <w:t xml:space="preserve"> </w:t>
      </w:r>
      <w:r w:rsidRPr="00D63378">
        <w:rPr>
          <w:rFonts w:ascii="Times New Roman" w:hAnsi="Times New Roman"/>
          <w:b/>
        </w:rPr>
        <w:t>đồng</w:t>
      </w:r>
      <w:r w:rsidRPr="00D63378">
        <w:rPr>
          <w:rFonts w:ascii="Times New Roman" w:hAnsi="Times New Roman"/>
        </w:rPr>
        <w:t xml:space="preserve"> (một </w:t>
      </w:r>
      <w:r w:rsidR="004E4BD7" w:rsidRPr="00D63378">
        <w:rPr>
          <w:rFonts w:ascii="Times New Roman" w:hAnsi="Times New Roman"/>
        </w:rPr>
        <w:t>triệu</w:t>
      </w:r>
      <w:r w:rsidRPr="00D63378">
        <w:rPr>
          <w:rFonts w:ascii="Times New Roman" w:hAnsi="Times New Roman"/>
        </w:rPr>
        <w:t xml:space="preserve">, </w:t>
      </w:r>
      <w:r w:rsidR="00D63378" w:rsidRPr="00D63378">
        <w:rPr>
          <w:rFonts w:ascii="Times New Roman" w:hAnsi="Times New Roman"/>
        </w:rPr>
        <w:t>chín</w:t>
      </w:r>
      <w:r w:rsidR="007A1FDA" w:rsidRPr="00D63378">
        <w:rPr>
          <w:rFonts w:ascii="Times New Roman" w:hAnsi="Times New Roman"/>
        </w:rPr>
        <w:t xml:space="preserve"> trăm</w:t>
      </w:r>
      <w:r w:rsidR="00D63378" w:rsidRPr="00D63378">
        <w:rPr>
          <w:rFonts w:ascii="Times New Roman" w:hAnsi="Times New Roman"/>
        </w:rPr>
        <w:t xml:space="preserve"> sáu mươi sáu</w:t>
      </w:r>
      <w:r w:rsidR="007A1FDA" w:rsidRPr="00D63378">
        <w:rPr>
          <w:rFonts w:ascii="Times New Roman" w:hAnsi="Times New Roman"/>
        </w:rPr>
        <w:t xml:space="preserve"> nghìn</w:t>
      </w:r>
      <w:r w:rsidR="004E4BD7" w:rsidRPr="00D63378">
        <w:rPr>
          <w:rFonts w:ascii="Times New Roman" w:hAnsi="Times New Roman"/>
        </w:rPr>
        <w:t xml:space="preserve">, </w:t>
      </w:r>
      <w:r w:rsidR="00D63378" w:rsidRPr="00D63378">
        <w:rPr>
          <w:rFonts w:ascii="Times New Roman" w:hAnsi="Times New Roman"/>
        </w:rPr>
        <w:t>tám</w:t>
      </w:r>
      <w:r w:rsidR="004E4BD7" w:rsidRPr="00D63378">
        <w:rPr>
          <w:rFonts w:ascii="Times New Roman" w:hAnsi="Times New Roman"/>
        </w:rPr>
        <w:t xml:space="preserve"> trăm </w:t>
      </w:r>
      <w:r w:rsidR="00D63378" w:rsidRPr="00D63378">
        <w:rPr>
          <w:rFonts w:ascii="Times New Roman" w:hAnsi="Times New Roman"/>
        </w:rPr>
        <w:t>ba</w:t>
      </w:r>
      <w:r w:rsidR="007A1FDA" w:rsidRPr="00D63378">
        <w:rPr>
          <w:rFonts w:ascii="Times New Roman" w:hAnsi="Times New Roman"/>
        </w:rPr>
        <w:t xml:space="preserve"> mươi </w:t>
      </w:r>
      <w:r w:rsidR="00D63378" w:rsidRPr="00D63378">
        <w:rPr>
          <w:rFonts w:ascii="Times New Roman" w:hAnsi="Times New Roman"/>
        </w:rPr>
        <w:t>chín</w:t>
      </w:r>
      <w:r w:rsidR="007A1FDA" w:rsidRPr="00D63378">
        <w:rPr>
          <w:rFonts w:ascii="Times New Roman" w:hAnsi="Times New Roman"/>
        </w:rPr>
        <w:t xml:space="preserve"> </w:t>
      </w:r>
      <w:r w:rsidR="004E4BD7" w:rsidRPr="00D63378">
        <w:rPr>
          <w:rFonts w:ascii="Times New Roman" w:hAnsi="Times New Roman"/>
        </w:rPr>
        <w:t>tỷ đồng</w:t>
      </w:r>
      <w:r w:rsidRPr="00D63378">
        <w:rPr>
          <w:rFonts w:ascii="Times New Roman" w:hAnsi="Times New Roman"/>
        </w:rPr>
        <w:t>).</w:t>
      </w:r>
    </w:p>
    <w:p w14:paraId="20C467D8" w14:textId="77777777" w:rsidR="00D63378" w:rsidRPr="00D63378" w:rsidRDefault="00F73643" w:rsidP="004C2667">
      <w:pPr>
        <w:pStyle w:val="BodyText22"/>
        <w:widowControl w:val="0"/>
        <w:overflowPunct/>
        <w:autoSpaceDE/>
        <w:autoSpaceDN/>
        <w:adjustRightInd/>
        <w:spacing w:before="120" w:line="340" w:lineRule="exact"/>
        <w:ind w:firstLine="567"/>
        <w:textAlignment w:val="auto"/>
        <w:rPr>
          <w:rFonts w:ascii="Times New Roman" w:hAnsi="Times New Roman"/>
          <w:bCs/>
          <w:iCs/>
        </w:rPr>
      </w:pPr>
      <w:r w:rsidRPr="00D63378">
        <w:rPr>
          <w:rFonts w:ascii="Times New Roman" w:hAnsi="Times New Roman"/>
          <w:bCs/>
          <w:iCs/>
        </w:rPr>
        <w:t xml:space="preserve">2. </w:t>
      </w:r>
      <w:r w:rsidR="00D63378" w:rsidRPr="00D63378">
        <w:rPr>
          <w:rFonts w:ascii="Times New Roman" w:hAnsi="Times New Roman"/>
          <w:bCs/>
          <w:iCs/>
        </w:rPr>
        <w:t xml:space="preserve">Sử dụng </w:t>
      </w:r>
      <w:r w:rsidR="00D63378" w:rsidRPr="00D63378">
        <w:rPr>
          <w:rFonts w:ascii="Times New Roman" w:hAnsi="Times New Roman"/>
          <w:b/>
          <w:bCs/>
          <w:iCs/>
        </w:rPr>
        <w:t>60.000 tỷ đồng</w:t>
      </w:r>
      <w:r w:rsidR="00D63378" w:rsidRPr="00D63378">
        <w:rPr>
          <w:rFonts w:ascii="Times New Roman" w:hAnsi="Times New Roman"/>
          <w:bCs/>
          <w:iCs/>
        </w:rPr>
        <w:t xml:space="preserve"> (sáu mươi nghìn tỷ đồng) nguồn tích lũy cho cải cách tiền lương của ngân sách trung ương và </w:t>
      </w:r>
      <w:r w:rsidR="00D63378" w:rsidRPr="00D63378">
        <w:rPr>
          <w:rFonts w:ascii="Times New Roman" w:hAnsi="Times New Roman"/>
          <w:b/>
          <w:bCs/>
          <w:iCs/>
          <w:lang w:val="nl-NL"/>
        </w:rPr>
        <w:t>50.619 tỷ đồng</w:t>
      </w:r>
      <w:r w:rsidR="00D63378" w:rsidRPr="00D63378">
        <w:rPr>
          <w:rFonts w:ascii="Times New Roman" w:hAnsi="Times New Roman"/>
          <w:bCs/>
          <w:iCs/>
          <w:lang w:val="nl-NL"/>
        </w:rPr>
        <w:t xml:space="preserve"> (năm mươi nghìn, sáu trăm mười chín tỷ đồng) nguồn cải cách tiền lương của ngân sách địa phương đến hết năm 2024 còn dư chuyển sang bố trí dự toán năm 2025 của các Bộ, cơ quan trung ương và địa phương để thực hiện mức lương cơ sở 2,34 triệu đồng/tháng.</w:t>
      </w:r>
    </w:p>
    <w:p w14:paraId="29D09D9D" w14:textId="77777777" w:rsidR="00D75F74" w:rsidRPr="00D63378" w:rsidRDefault="00924E0F" w:rsidP="004C2667">
      <w:pPr>
        <w:pStyle w:val="BodyText22"/>
        <w:widowControl w:val="0"/>
        <w:overflowPunct/>
        <w:autoSpaceDE/>
        <w:autoSpaceDN/>
        <w:adjustRightInd/>
        <w:spacing w:before="120" w:line="340" w:lineRule="exact"/>
        <w:ind w:firstLine="567"/>
        <w:textAlignment w:val="auto"/>
        <w:rPr>
          <w:rFonts w:ascii="Times New Roman" w:hAnsi="Times New Roman"/>
        </w:rPr>
      </w:pPr>
      <w:r w:rsidRPr="00D63378">
        <w:rPr>
          <w:rFonts w:ascii="Times New Roman" w:hAnsi="Times New Roman"/>
        </w:rPr>
        <w:t>3</w:t>
      </w:r>
      <w:r w:rsidR="00D75F74" w:rsidRPr="00D63378">
        <w:rPr>
          <w:rFonts w:ascii="Times New Roman" w:hAnsi="Times New Roman"/>
        </w:rPr>
        <w:t>. Tổng số chi ngân sách nhà nước là</w:t>
      </w:r>
      <w:r w:rsidR="00D75F74" w:rsidRPr="00D63378">
        <w:rPr>
          <w:rFonts w:ascii="Times New Roman" w:hAnsi="Times New Roman"/>
          <w:b/>
        </w:rPr>
        <w:t xml:space="preserve"> </w:t>
      </w:r>
      <w:r w:rsidR="00D63378" w:rsidRPr="00D63378">
        <w:rPr>
          <w:rFonts w:ascii="Times New Roman" w:hAnsi="Times New Roman"/>
          <w:b/>
        </w:rPr>
        <w:t>2.548.958</w:t>
      </w:r>
      <w:r w:rsidR="004E4BD7" w:rsidRPr="00D63378">
        <w:rPr>
          <w:rFonts w:ascii="Times New Roman" w:hAnsi="Times New Roman"/>
          <w:b/>
        </w:rPr>
        <w:t xml:space="preserve"> tỷ</w:t>
      </w:r>
      <w:r w:rsidR="00C36CD8" w:rsidRPr="00D63378">
        <w:rPr>
          <w:rFonts w:ascii="Times New Roman" w:hAnsi="Times New Roman"/>
          <w:b/>
        </w:rPr>
        <w:t xml:space="preserve"> </w:t>
      </w:r>
      <w:r w:rsidR="00D75F74" w:rsidRPr="00D63378">
        <w:rPr>
          <w:rFonts w:ascii="Times New Roman" w:hAnsi="Times New Roman"/>
          <w:b/>
        </w:rPr>
        <w:t xml:space="preserve">đồng </w:t>
      </w:r>
      <w:r w:rsidR="00D75F74" w:rsidRPr="00D63378">
        <w:rPr>
          <w:rFonts w:ascii="Times New Roman" w:hAnsi="Times New Roman"/>
        </w:rPr>
        <w:t>(</w:t>
      </w:r>
      <w:r w:rsidR="00424733" w:rsidRPr="00D63378">
        <w:rPr>
          <w:rFonts w:ascii="Times New Roman" w:hAnsi="Times New Roman"/>
        </w:rPr>
        <w:t>hai triệu</w:t>
      </w:r>
      <w:r w:rsidR="00D75F74" w:rsidRPr="00D63378">
        <w:rPr>
          <w:rFonts w:ascii="Times New Roman" w:hAnsi="Times New Roman"/>
        </w:rPr>
        <w:t xml:space="preserve">, </w:t>
      </w:r>
      <w:r w:rsidR="00D63378" w:rsidRPr="00D63378">
        <w:rPr>
          <w:rFonts w:ascii="Times New Roman" w:hAnsi="Times New Roman"/>
        </w:rPr>
        <w:t>năm</w:t>
      </w:r>
      <w:r w:rsidR="00B3169C" w:rsidRPr="00D63378">
        <w:rPr>
          <w:rFonts w:ascii="Times New Roman" w:hAnsi="Times New Roman"/>
        </w:rPr>
        <w:t xml:space="preserve"> </w:t>
      </w:r>
      <w:r w:rsidR="00D75F74" w:rsidRPr="00D63378">
        <w:rPr>
          <w:rFonts w:ascii="Times New Roman" w:hAnsi="Times New Roman"/>
        </w:rPr>
        <w:t xml:space="preserve">trăm </w:t>
      </w:r>
      <w:r w:rsidR="00D63378" w:rsidRPr="00D63378">
        <w:rPr>
          <w:rFonts w:ascii="Times New Roman" w:hAnsi="Times New Roman"/>
        </w:rPr>
        <w:t>bốn mươi tám</w:t>
      </w:r>
      <w:r w:rsidR="00424733" w:rsidRPr="00D63378">
        <w:rPr>
          <w:rFonts w:ascii="Times New Roman" w:hAnsi="Times New Roman"/>
        </w:rPr>
        <w:t xml:space="preserve"> nghìn</w:t>
      </w:r>
      <w:r w:rsidR="00320B0A" w:rsidRPr="00D63378">
        <w:rPr>
          <w:rFonts w:ascii="Times New Roman" w:hAnsi="Times New Roman"/>
        </w:rPr>
        <w:t xml:space="preserve">, </w:t>
      </w:r>
      <w:r w:rsidR="00D63378" w:rsidRPr="00D63378">
        <w:rPr>
          <w:rFonts w:ascii="Times New Roman" w:hAnsi="Times New Roman"/>
        </w:rPr>
        <w:t xml:space="preserve">chín </w:t>
      </w:r>
      <w:r w:rsidR="00320B0A" w:rsidRPr="00D63378">
        <w:rPr>
          <w:rFonts w:ascii="Times New Roman" w:hAnsi="Times New Roman"/>
        </w:rPr>
        <w:t>trăm</w:t>
      </w:r>
      <w:r w:rsidR="00424733" w:rsidRPr="00D63378">
        <w:rPr>
          <w:rFonts w:ascii="Times New Roman" w:hAnsi="Times New Roman"/>
        </w:rPr>
        <w:t xml:space="preserve"> </w:t>
      </w:r>
      <w:r w:rsidR="00D63378" w:rsidRPr="00D63378">
        <w:rPr>
          <w:rFonts w:ascii="Times New Roman" w:hAnsi="Times New Roman"/>
        </w:rPr>
        <w:t>năm</w:t>
      </w:r>
      <w:r w:rsidR="00424733" w:rsidRPr="00D63378">
        <w:rPr>
          <w:rFonts w:ascii="Times New Roman" w:hAnsi="Times New Roman"/>
        </w:rPr>
        <w:t xml:space="preserve"> mươi </w:t>
      </w:r>
      <w:r w:rsidRPr="00D63378">
        <w:rPr>
          <w:rFonts w:ascii="Times New Roman" w:hAnsi="Times New Roman"/>
        </w:rPr>
        <w:t>tám</w:t>
      </w:r>
      <w:r w:rsidR="004E4BD7" w:rsidRPr="00D63378">
        <w:rPr>
          <w:rFonts w:ascii="Times New Roman" w:hAnsi="Times New Roman"/>
        </w:rPr>
        <w:t xml:space="preserve"> tỷ</w:t>
      </w:r>
      <w:r w:rsidR="006E2A97" w:rsidRPr="00D63378">
        <w:rPr>
          <w:rFonts w:ascii="Times New Roman" w:hAnsi="Times New Roman"/>
        </w:rPr>
        <w:t xml:space="preserve"> </w:t>
      </w:r>
      <w:r w:rsidR="00D75F74" w:rsidRPr="00D63378">
        <w:rPr>
          <w:rFonts w:ascii="Times New Roman" w:hAnsi="Times New Roman"/>
        </w:rPr>
        <w:t>đồng).</w:t>
      </w:r>
    </w:p>
    <w:p w14:paraId="433B6933" w14:textId="77777777" w:rsidR="00D75F74" w:rsidRPr="002738E4" w:rsidRDefault="00924E0F" w:rsidP="004C2667">
      <w:pPr>
        <w:pStyle w:val="BodyText22"/>
        <w:widowControl w:val="0"/>
        <w:overflowPunct/>
        <w:autoSpaceDE/>
        <w:autoSpaceDN/>
        <w:adjustRightInd/>
        <w:spacing w:before="120" w:line="340" w:lineRule="exact"/>
        <w:ind w:firstLine="567"/>
        <w:textAlignment w:val="auto"/>
        <w:rPr>
          <w:rFonts w:ascii="Times New Roman" w:hAnsi="Times New Roman"/>
          <w:bCs/>
        </w:rPr>
      </w:pPr>
      <w:r w:rsidRPr="002738E4">
        <w:rPr>
          <w:rFonts w:ascii="Times New Roman" w:hAnsi="Times New Roman"/>
        </w:rPr>
        <w:t>4</w:t>
      </w:r>
      <w:r w:rsidR="00D75F74" w:rsidRPr="002738E4">
        <w:rPr>
          <w:rFonts w:ascii="Times New Roman" w:hAnsi="Times New Roman"/>
        </w:rPr>
        <w:t xml:space="preserve">. Mức bội chi ngân sách nhà nước là </w:t>
      </w:r>
      <w:r w:rsidR="002738E4" w:rsidRPr="002738E4">
        <w:rPr>
          <w:rFonts w:ascii="Times New Roman" w:hAnsi="Times New Roman"/>
          <w:b/>
        </w:rPr>
        <w:t>471.500</w:t>
      </w:r>
      <w:r w:rsidR="004E4BD7" w:rsidRPr="002738E4">
        <w:rPr>
          <w:rFonts w:ascii="Times New Roman" w:hAnsi="Times New Roman"/>
          <w:b/>
        </w:rPr>
        <w:t xml:space="preserve"> tỷ</w:t>
      </w:r>
      <w:r w:rsidR="00C36CD8" w:rsidRPr="002738E4">
        <w:rPr>
          <w:rFonts w:ascii="Times New Roman" w:hAnsi="Times New Roman"/>
          <w:b/>
        </w:rPr>
        <w:t xml:space="preserve"> </w:t>
      </w:r>
      <w:r w:rsidR="00D75F74" w:rsidRPr="002738E4">
        <w:rPr>
          <w:rFonts w:ascii="Times New Roman" w:hAnsi="Times New Roman"/>
          <w:b/>
        </w:rPr>
        <w:t>đồng</w:t>
      </w:r>
      <w:r w:rsidR="00D75F74" w:rsidRPr="002738E4">
        <w:rPr>
          <w:rFonts w:ascii="Times New Roman" w:hAnsi="Times New Roman"/>
        </w:rPr>
        <w:t xml:space="preserve"> (</w:t>
      </w:r>
      <w:r w:rsidR="002738E4" w:rsidRPr="002738E4">
        <w:rPr>
          <w:rFonts w:ascii="Times New Roman" w:hAnsi="Times New Roman"/>
        </w:rPr>
        <w:t>bốn</w:t>
      </w:r>
      <w:r w:rsidR="004E4BD7" w:rsidRPr="002738E4">
        <w:rPr>
          <w:rFonts w:ascii="Times New Roman" w:hAnsi="Times New Roman"/>
        </w:rPr>
        <w:t xml:space="preserve"> trăm </w:t>
      </w:r>
      <w:r w:rsidR="002738E4" w:rsidRPr="002738E4">
        <w:rPr>
          <w:rFonts w:ascii="Times New Roman" w:hAnsi="Times New Roman"/>
        </w:rPr>
        <w:t>bảy</w:t>
      </w:r>
      <w:r w:rsidRPr="002738E4">
        <w:rPr>
          <w:rFonts w:ascii="Times New Roman" w:hAnsi="Times New Roman"/>
        </w:rPr>
        <w:t xml:space="preserve"> mươi </w:t>
      </w:r>
      <w:r w:rsidR="002738E4" w:rsidRPr="002738E4">
        <w:rPr>
          <w:rFonts w:ascii="Times New Roman" w:hAnsi="Times New Roman"/>
        </w:rPr>
        <w:t>mốt</w:t>
      </w:r>
      <w:r w:rsidR="004E4BD7" w:rsidRPr="002738E4">
        <w:rPr>
          <w:rFonts w:ascii="Times New Roman" w:hAnsi="Times New Roman"/>
        </w:rPr>
        <w:t xml:space="preserve"> nghìn, </w:t>
      </w:r>
      <w:r w:rsidRPr="002738E4">
        <w:rPr>
          <w:rFonts w:ascii="Times New Roman" w:hAnsi="Times New Roman"/>
        </w:rPr>
        <w:t>n</w:t>
      </w:r>
      <w:r w:rsidR="002738E4" w:rsidRPr="002738E4">
        <w:rPr>
          <w:rFonts w:ascii="Times New Roman" w:hAnsi="Times New Roman"/>
        </w:rPr>
        <w:t>ăm</w:t>
      </w:r>
      <w:r w:rsidR="004E4BD7" w:rsidRPr="002738E4">
        <w:rPr>
          <w:rFonts w:ascii="Times New Roman" w:hAnsi="Times New Roman"/>
        </w:rPr>
        <w:t xml:space="preserve"> trăm tỷ đồng</w:t>
      </w:r>
      <w:r w:rsidR="00D75F74" w:rsidRPr="002738E4">
        <w:rPr>
          <w:rFonts w:ascii="Times New Roman" w:hAnsi="Times New Roman"/>
        </w:rPr>
        <w:t xml:space="preserve">), tương đương </w:t>
      </w:r>
      <w:r w:rsidRPr="002738E4">
        <w:rPr>
          <w:rFonts w:ascii="Times New Roman" w:hAnsi="Times New Roman"/>
          <w:b/>
        </w:rPr>
        <w:t>3,</w:t>
      </w:r>
      <w:r w:rsidR="002738E4" w:rsidRPr="002738E4">
        <w:rPr>
          <w:rFonts w:ascii="Times New Roman" w:hAnsi="Times New Roman"/>
          <w:b/>
        </w:rPr>
        <w:t>8</w:t>
      </w:r>
      <w:r w:rsidR="00D75F74" w:rsidRPr="002738E4">
        <w:rPr>
          <w:rFonts w:ascii="Times New Roman" w:hAnsi="Times New Roman"/>
          <w:b/>
        </w:rPr>
        <w:t xml:space="preserve">% </w:t>
      </w:r>
      <w:r w:rsidR="00D75F74" w:rsidRPr="002738E4">
        <w:rPr>
          <w:rFonts w:ascii="Times New Roman" w:hAnsi="Times New Roman"/>
          <w:bCs/>
        </w:rPr>
        <w:t xml:space="preserve">tổng sản phẩm trong nước (GDP), gồm: </w:t>
      </w:r>
    </w:p>
    <w:p w14:paraId="593FA936" w14:textId="77777777" w:rsidR="00D75F74" w:rsidRPr="00F05E6D" w:rsidRDefault="00D75F74" w:rsidP="004C2667">
      <w:pPr>
        <w:pStyle w:val="BodyText22"/>
        <w:widowControl w:val="0"/>
        <w:overflowPunct/>
        <w:autoSpaceDE/>
        <w:autoSpaceDN/>
        <w:adjustRightInd/>
        <w:spacing w:before="120" w:line="340" w:lineRule="exact"/>
        <w:ind w:firstLine="567"/>
        <w:textAlignment w:val="auto"/>
        <w:rPr>
          <w:rFonts w:ascii="Times New Roman" w:hAnsi="Times New Roman"/>
          <w:bCs/>
          <w:color w:val="FF0000"/>
        </w:rPr>
      </w:pPr>
      <w:r w:rsidRPr="002738E4">
        <w:rPr>
          <w:rFonts w:ascii="Times New Roman" w:hAnsi="Times New Roman"/>
        </w:rPr>
        <w:t xml:space="preserve">Bội chi ngân sách trung ương là </w:t>
      </w:r>
      <w:r w:rsidR="002738E4" w:rsidRPr="002738E4">
        <w:rPr>
          <w:rFonts w:ascii="Times New Roman" w:hAnsi="Times New Roman"/>
          <w:b/>
        </w:rPr>
        <w:t>443.100</w:t>
      </w:r>
      <w:r w:rsidR="004E4BD7" w:rsidRPr="002738E4">
        <w:rPr>
          <w:rFonts w:ascii="Times New Roman" w:hAnsi="Times New Roman"/>
          <w:b/>
        </w:rPr>
        <w:t xml:space="preserve"> tỷ</w:t>
      </w:r>
      <w:r w:rsidR="00C36CD8" w:rsidRPr="002738E4">
        <w:rPr>
          <w:rFonts w:ascii="Times New Roman" w:hAnsi="Times New Roman"/>
          <w:b/>
        </w:rPr>
        <w:t xml:space="preserve"> </w:t>
      </w:r>
      <w:r w:rsidRPr="002738E4">
        <w:rPr>
          <w:rFonts w:ascii="Times New Roman" w:hAnsi="Times New Roman"/>
          <w:b/>
        </w:rPr>
        <w:t>đồng</w:t>
      </w:r>
      <w:r w:rsidRPr="002738E4">
        <w:rPr>
          <w:rFonts w:ascii="Times New Roman" w:hAnsi="Times New Roman"/>
        </w:rPr>
        <w:t xml:space="preserve"> (</w:t>
      </w:r>
      <w:r w:rsidR="002738E4" w:rsidRPr="002738E4">
        <w:rPr>
          <w:rFonts w:ascii="Times New Roman" w:hAnsi="Times New Roman"/>
        </w:rPr>
        <w:t>bốn trăm bốn mươi ba nghìn, một trăm tỷ đồng</w:t>
      </w:r>
      <w:r w:rsidRPr="002738E4">
        <w:rPr>
          <w:rFonts w:ascii="Times New Roman" w:hAnsi="Times New Roman"/>
        </w:rPr>
        <w:t xml:space="preserve">), tương đương </w:t>
      </w:r>
      <w:r w:rsidR="00C2441D" w:rsidRPr="002738E4">
        <w:rPr>
          <w:rFonts w:ascii="Times New Roman" w:hAnsi="Times New Roman"/>
          <w:b/>
        </w:rPr>
        <w:t>3,</w:t>
      </w:r>
      <w:r w:rsidR="002738E4" w:rsidRPr="002738E4">
        <w:rPr>
          <w:rFonts w:ascii="Times New Roman" w:hAnsi="Times New Roman"/>
          <w:b/>
        </w:rPr>
        <w:t>6</w:t>
      </w:r>
      <w:r w:rsidRPr="002738E4">
        <w:rPr>
          <w:rFonts w:ascii="Times New Roman" w:hAnsi="Times New Roman"/>
          <w:b/>
        </w:rPr>
        <w:t>%</w:t>
      </w:r>
      <w:r w:rsidRPr="002738E4">
        <w:rPr>
          <w:rFonts w:ascii="Times New Roman" w:hAnsi="Times New Roman"/>
          <w:bCs/>
        </w:rPr>
        <w:t>GDP;</w:t>
      </w:r>
    </w:p>
    <w:p w14:paraId="7A4B54BB" w14:textId="77777777" w:rsidR="00D75F74" w:rsidRPr="002738E4" w:rsidRDefault="00D75F74" w:rsidP="004C2667">
      <w:pPr>
        <w:pStyle w:val="BodyText22"/>
        <w:widowControl w:val="0"/>
        <w:overflowPunct/>
        <w:autoSpaceDE/>
        <w:autoSpaceDN/>
        <w:adjustRightInd/>
        <w:spacing w:before="120" w:line="340" w:lineRule="exact"/>
        <w:ind w:firstLine="567"/>
        <w:textAlignment w:val="auto"/>
        <w:rPr>
          <w:rFonts w:ascii="Times New Roman" w:hAnsi="Times New Roman"/>
          <w:bCs/>
        </w:rPr>
      </w:pPr>
      <w:r w:rsidRPr="002738E4">
        <w:rPr>
          <w:rFonts w:ascii="Times New Roman" w:hAnsi="Times New Roman"/>
          <w:bCs/>
        </w:rPr>
        <w:lastRenderedPageBreak/>
        <w:t>B</w:t>
      </w:r>
      <w:r w:rsidRPr="002738E4">
        <w:rPr>
          <w:rFonts w:ascii="Times New Roman" w:hAnsi="Times New Roman"/>
        </w:rPr>
        <w:t xml:space="preserve">ội chi ngân sách địa phương là </w:t>
      </w:r>
      <w:r w:rsidR="002738E4" w:rsidRPr="002738E4">
        <w:rPr>
          <w:rFonts w:ascii="Times New Roman" w:hAnsi="Times New Roman"/>
          <w:b/>
        </w:rPr>
        <w:t>28.4</w:t>
      </w:r>
      <w:r w:rsidR="004E4BD7" w:rsidRPr="002738E4">
        <w:rPr>
          <w:rFonts w:ascii="Times New Roman" w:hAnsi="Times New Roman"/>
          <w:b/>
        </w:rPr>
        <w:t>00</w:t>
      </w:r>
      <w:r w:rsidR="006E2A97" w:rsidRPr="002738E4">
        <w:rPr>
          <w:rFonts w:ascii="Times New Roman" w:hAnsi="Times New Roman"/>
          <w:b/>
        </w:rPr>
        <w:t xml:space="preserve"> </w:t>
      </w:r>
      <w:r w:rsidR="004E4BD7" w:rsidRPr="002738E4">
        <w:rPr>
          <w:rFonts w:ascii="Times New Roman" w:hAnsi="Times New Roman"/>
          <w:b/>
        </w:rPr>
        <w:t>tỷ</w:t>
      </w:r>
      <w:r w:rsidR="00C36CD8" w:rsidRPr="002738E4">
        <w:rPr>
          <w:rFonts w:ascii="Times New Roman" w:hAnsi="Times New Roman"/>
          <w:b/>
        </w:rPr>
        <w:t xml:space="preserve"> </w:t>
      </w:r>
      <w:r w:rsidRPr="002738E4">
        <w:rPr>
          <w:rFonts w:ascii="Times New Roman" w:hAnsi="Times New Roman"/>
          <w:b/>
        </w:rPr>
        <w:t>đồng</w:t>
      </w:r>
      <w:r w:rsidRPr="002738E4">
        <w:rPr>
          <w:rFonts w:ascii="Times New Roman" w:hAnsi="Times New Roman"/>
        </w:rPr>
        <w:t xml:space="preserve"> (</w:t>
      </w:r>
      <w:r w:rsidR="004E4BD7" w:rsidRPr="002738E4">
        <w:rPr>
          <w:rFonts w:ascii="Times New Roman" w:hAnsi="Times New Roman"/>
        </w:rPr>
        <w:t xml:space="preserve">hai mươi </w:t>
      </w:r>
      <w:r w:rsidR="002738E4" w:rsidRPr="002738E4">
        <w:rPr>
          <w:rFonts w:ascii="Times New Roman" w:hAnsi="Times New Roman"/>
        </w:rPr>
        <w:t>tám</w:t>
      </w:r>
      <w:r w:rsidR="00320B0A" w:rsidRPr="002738E4">
        <w:rPr>
          <w:rFonts w:ascii="Times New Roman" w:hAnsi="Times New Roman"/>
        </w:rPr>
        <w:t xml:space="preserve"> </w:t>
      </w:r>
      <w:r w:rsidR="004E4BD7" w:rsidRPr="002738E4">
        <w:rPr>
          <w:rFonts w:ascii="Times New Roman" w:hAnsi="Times New Roman"/>
        </w:rPr>
        <w:t>nghìn</w:t>
      </w:r>
      <w:r w:rsidR="00C2441D" w:rsidRPr="002738E4">
        <w:rPr>
          <w:rFonts w:ascii="Times New Roman" w:hAnsi="Times New Roman"/>
        </w:rPr>
        <w:t xml:space="preserve"> </w:t>
      </w:r>
      <w:r w:rsidR="002738E4" w:rsidRPr="002738E4">
        <w:rPr>
          <w:rFonts w:ascii="Times New Roman" w:hAnsi="Times New Roman"/>
        </w:rPr>
        <w:t>bốn</w:t>
      </w:r>
      <w:r w:rsidR="00C2441D" w:rsidRPr="002738E4">
        <w:rPr>
          <w:rFonts w:ascii="Times New Roman" w:hAnsi="Times New Roman"/>
        </w:rPr>
        <w:t xml:space="preserve"> trăm</w:t>
      </w:r>
      <w:r w:rsidR="00320B0A" w:rsidRPr="002738E4">
        <w:rPr>
          <w:rFonts w:ascii="Times New Roman" w:hAnsi="Times New Roman"/>
        </w:rPr>
        <w:t xml:space="preserve"> </w:t>
      </w:r>
      <w:r w:rsidR="004E4BD7" w:rsidRPr="002738E4">
        <w:rPr>
          <w:rFonts w:ascii="Times New Roman" w:hAnsi="Times New Roman"/>
        </w:rPr>
        <w:t>tỷ đồng</w:t>
      </w:r>
      <w:r w:rsidRPr="002738E4">
        <w:rPr>
          <w:rFonts w:ascii="Times New Roman" w:hAnsi="Times New Roman"/>
        </w:rPr>
        <w:t xml:space="preserve">), tương đương </w:t>
      </w:r>
      <w:r w:rsidRPr="002738E4">
        <w:rPr>
          <w:rFonts w:ascii="Times New Roman" w:hAnsi="Times New Roman"/>
          <w:b/>
        </w:rPr>
        <w:t>0,</w:t>
      </w:r>
      <w:r w:rsidR="00791DD3" w:rsidRPr="002738E4">
        <w:rPr>
          <w:rFonts w:ascii="Times New Roman" w:hAnsi="Times New Roman"/>
          <w:b/>
        </w:rPr>
        <w:t>2</w:t>
      </w:r>
      <w:r w:rsidRPr="002738E4">
        <w:rPr>
          <w:rFonts w:ascii="Times New Roman" w:hAnsi="Times New Roman"/>
          <w:b/>
        </w:rPr>
        <w:t>%</w:t>
      </w:r>
      <w:r w:rsidRPr="002738E4">
        <w:rPr>
          <w:rFonts w:ascii="Times New Roman" w:hAnsi="Times New Roman"/>
          <w:bCs/>
        </w:rPr>
        <w:t>GDP.</w:t>
      </w:r>
    </w:p>
    <w:p w14:paraId="36FE7B27" w14:textId="0CE90102" w:rsidR="00D75F74" w:rsidRDefault="00742050" w:rsidP="004C2667">
      <w:pPr>
        <w:pStyle w:val="BodyText22"/>
        <w:widowControl w:val="0"/>
        <w:overflowPunct/>
        <w:autoSpaceDE/>
        <w:autoSpaceDN/>
        <w:adjustRightInd/>
        <w:spacing w:before="120" w:line="340" w:lineRule="exact"/>
        <w:ind w:firstLine="567"/>
        <w:textAlignment w:val="auto"/>
        <w:rPr>
          <w:rFonts w:ascii="Times New Roman" w:hAnsi="Times New Roman"/>
        </w:rPr>
      </w:pPr>
      <w:r w:rsidRPr="00441100">
        <w:rPr>
          <w:rFonts w:ascii="Times New Roman" w:hAnsi="Times New Roman"/>
        </w:rPr>
        <w:t>5</w:t>
      </w:r>
      <w:r w:rsidR="00D75F74" w:rsidRPr="00441100">
        <w:rPr>
          <w:rFonts w:ascii="Times New Roman" w:hAnsi="Times New Roman"/>
        </w:rPr>
        <w:t xml:space="preserve">. Tổng mức vay của ngân sách nhà nước là </w:t>
      </w:r>
      <w:r w:rsidR="00DD78EE">
        <w:rPr>
          <w:rFonts w:ascii="Times New Roman" w:hAnsi="Times New Roman"/>
          <w:b/>
        </w:rPr>
        <w:t>835.965</w:t>
      </w:r>
      <w:r w:rsidR="006E2A97" w:rsidRPr="00441100">
        <w:rPr>
          <w:rFonts w:ascii="Times New Roman" w:hAnsi="Times New Roman"/>
          <w:b/>
        </w:rPr>
        <w:t xml:space="preserve"> </w:t>
      </w:r>
      <w:r w:rsidR="00457524" w:rsidRPr="00441100">
        <w:rPr>
          <w:rFonts w:ascii="Times New Roman" w:hAnsi="Times New Roman"/>
          <w:b/>
        </w:rPr>
        <w:t xml:space="preserve">tỷ </w:t>
      </w:r>
      <w:r w:rsidR="00D75F74" w:rsidRPr="00441100">
        <w:rPr>
          <w:rFonts w:ascii="Times New Roman" w:hAnsi="Times New Roman"/>
          <w:b/>
        </w:rPr>
        <w:t>đồng</w:t>
      </w:r>
      <w:r w:rsidR="00D75F74" w:rsidRPr="00441100">
        <w:rPr>
          <w:rFonts w:ascii="Times New Roman" w:hAnsi="Times New Roman"/>
        </w:rPr>
        <w:t xml:space="preserve"> (</w:t>
      </w:r>
      <w:r w:rsidR="00291D5A">
        <w:rPr>
          <w:rFonts w:ascii="Times New Roman" w:hAnsi="Times New Roman"/>
        </w:rPr>
        <w:t>t</w:t>
      </w:r>
      <w:r w:rsidR="00DD78EE">
        <w:rPr>
          <w:rFonts w:ascii="Times New Roman" w:hAnsi="Times New Roman"/>
        </w:rPr>
        <w:t>ám trăm ba mươi lăm nghìn, chín trăm sáu mươi lăm tỷ đồng</w:t>
      </w:r>
      <w:r w:rsidR="00D75F74" w:rsidRPr="00441100">
        <w:rPr>
          <w:rFonts w:ascii="Times New Roman" w:hAnsi="Times New Roman"/>
        </w:rPr>
        <w:t>).</w:t>
      </w:r>
    </w:p>
    <w:p w14:paraId="5BC74C53" w14:textId="77777777" w:rsidR="00D75F74" w:rsidRPr="006103B4" w:rsidRDefault="00D75F74" w:rsidP="004C2667">
      <w:pPr>
        <w:pStyle w:val="BodyText22"/>
        <w:widowControl w:val="0"/>
        <w:overflowPunct/>
        <w:autoSpaceDE/>
        <w:autoSpaceDN/>
        <w:adjustRightInd/>
        <w:spacing w:before="120" w:line="340" w:lineRule="exact"/>
        <w:ind w:firstLine="567"/>
        <w:jc w:val="center"/>
        <w:textAlignment w:val="auto"/>
        <w:rPr>
          <w:rFonts w:ascii="Times New Roman" w:hAnsi="Times New Roman"/>
          <w:i/>
          <w:iCs/>
        </w:rPr>
      </w:pPr>
      <w:r w:rsidRPr="006103B4">
        <w:rPr>
          <w:rFonts w:ascii="Times New Roman" w:hAnsi="Times New Roman"/>
          <w:i/>
          <w:iCs/>
        </w:rPr>
        <w:t xml:space="preserve">(Kèm theo các phụ lục số </w:t>
      </w:r>
      <w:r w:rsidR="00BE29E9" w:rsidRPr="006103B4">
        <w:rPr>
          <w:rFonts w:ascii="Times New Roman" w:hAnsi="Times New Roman"/>
          <w:i/>
          <w:iCs/>
        </w:rPr>
        <w:t>I</w:t>
      </w:r>
      <w:r w:rsidRPr="006103B4">
        <w:rPr>
          <w:rFonts w:ascii="Times New Roman" w:hAnsi="Times New Roman"/>
          <w:i/>
          <w:iCs/>
        </w:rPr>
        <w:t xml:space="preserve">, </w:t>
      </w:r>
      <w:r w:rsidR="00BE29E9" w:rsidRPr="006103B4">
        <w:rPr>
          <w:rFonts w:ascii="Times New Roman" w:hAnsi="Times New Roman"/>
          <w:i/>
          <w:iCs/>
        </w:rPr>
        <w:t>II</w:t>
      </w:r>
      <w:r w:rsidRPr="006103B4">
        <w:rPr>
          <w:rFonts w:ascii="Times New Roman" w:hAnsi="Times New Roman"/>
          <w:i/>
          <w:iCs/>
        </w:rPr>
        <w:t xml:space="preserve">, </w:t>
      </w:r>
      <w:r w:rsidR="00BE29E9" w:rsidRPr="006103B4">
        <w:rPr>
          <w:rFonts w:ascii="Times New Roman" w:hAnsi="Times New Roman"/>
          <w:i/>
          <w:iCs/>
        </w:rPr>
        <w:t>III</w:t>
      </w:r>
      <w:r w:rsidRPr="006103B4">
        <w:rPr>
          <w:rFonts w:ascii="Times New Roman" w:hAnsi="Times New Roman"/>
          <w:i/>
          <w:iCs/>
        </w:rPr>
        <w:t xml:space="preserve"> và </w:t>
      </w:r>
      <w:r w:rsidR="00BE29E9" w:rsidRPr="006103B4">
        <w:rPr>
          <w:rFonts w:ascii="Times New Roman" w:hAnsi="Times New Roman"/>
          <w:i/>
          <w:iCs/>
        </w:rPr>
        <w:t>IV</w:t>
      </w:r>
      <w:r w:rsidRPr="006103B4">
        <w:rPr>
          <w:rFonts w:ascii="Times New Roman" w:hAnsi="Times New Roman"/>
          <w:i/>
          <w:iCs/>
        </w:rPr>
        <w:t>)</w:t>
      </w:r>
    </w:p>
    <w:p w14:paraId="07C7FF19" w14:textId="77777777" w:rsidR="000636D8" w:rsidRPr="00DB7C2F" w:rsidRDefault="000636D8" w:rsidP="004C2667">
      <w:pPr>
        <w:pStyle w:val="BodyText22"/>
        <w:widowControl w:val="0"/>
        <w:overflowPunct/>
        <w:autoSpaceDE/>
        <w:autoSpaceDN/>
        <w:adjustRightInd/>
        <w:spacing w:before="120" w:line="340" w:lineRule="exact"/>
        <w:ind w:firstLine="567"/>
        <w:textAlignment w:val="auto"/>
        <w:rPr>
          <w:rFonts w:ascii="Times New Roman" w:hAnsi="Times New Roman"/>
          <w:b/>
          <w:bCs/>
        </w:rPr>
      </w:pPr>
      <w:r w:rsidRPr="00F52B26">
        <w:rPr>
          <w:rFonts w:ascii="Times New Roman" w:hAnsi="Times New Roman"/>
          <w:b/>
          <w:bCs/>
        </w:rPr>
        <w:t>Điều 2</w:t>
      </w:r>
      <w:r w:rsidRPr="00F52B26">
        <w:rPr>
          <w:rFonts w:ascii="Times New Roman" w:hAnsi="Times New Roman"/>
        </w:rPr>
        <w:t xml:space="preserve">. </w:t>
      </w:r>
      <w:r w:rsidRPr="00F52B26">
        <w:rPr>
          <w:rFonts w:ascii="Times New Roman" w:hAnsi="Times New Roman"/>
          <w:b/>
          <w:bCs/>
        </w:rPr>
        <w:t>Về điều hành ngân sách nhà nước năm 2024</w:t>
      </w:r>
    </w:p>
    <w:p w14:paraId="1E9207A0" w14:textId="76B50D17" w:rsidR="002A1826" w:rsidRPr="0083726C" w:rsidRDefault="002A1826" w:rsidP="004C2667">
      <w:pPr>
        <w:widowControl w:val="0"/>
        <w:spacing w:before="120" w:line="340" w:lineRule="exact"/>
        <w:ind w:firstLine="567"/>
        <w:jc w:val="both"/>
        <w:rPr>
          <w:noProof/>
          <w:spacing w:val="4"/>
          <w:sz w:val="28"/>
          <w:szCs w:val="28"/>
        </w:rPr>
      </w:pPr>
      <w:bookmarkStart w:id="1" w:name="_Hlk179562080"/>
      <w:r w:rsidRPr="005345F2">
        <w:rPr>
          <w:noProof/>
          <w:spacing w:val="-2"/>
          <w:sz w:val="28"/>
          <w:szCs w:val="28"/>
        </w:rPr>
        <w:t>1.</w:t>
      </w:r>
      <w:r w:rsidRPr="0083726C">
        <w:rPr>
          <w:noProof/>
          <w:spacing w:val="-2"/>
          <w:sz w:val="28"/>
          <w:szCs w:val="28"/>
        </w:rPr>
        <w:t xml:space="preserve"> </w:t>
      </w:r>
      <w:r w:rsidR="00F12648">
        <w:rPr>
          <w:noProof/>
          <w:spacing w:val="-2"/>
          <w:sz w:val="28"/>
          <w:szCs w:val="28"/>
        </w:rPr>
        <w:t>B</w:t>
      </w:r>
      <w:r w:rsidRPr="0083726C">
        <w:rPr>
          <w:noProof/>
          <w:spacing w:val="-2"/>
          <w:sz w:val="28"/>
          <w:szCs w:val="28"/>
        </w:rPr>
        <w:t xml:space="preserve">ổ sung dự toán thu </w:t>
      </w:r>
      <w:r w:rsidR="00627C1C" w:rsidRPr="004400FC">
        <w:rPr>
          <w:rFonts w:eastAsia="Calibri"/>
          <w:bCs/>
          <w:spacing w:val="-10"/>
          <w:sz w:val="28"/>
          <w:szCs w:val="28"/>
          <w:lang w:val="nl-NL"/>
        </w:rPr>
        <w:t>ngân sách trung ương</w:t>
      </w:r>
      <w:r w:rsidRPr="0083726C">
        <w:rPr>
          <w:noProof/>
          <w:spacing w:val="-2"/>
          <w:sz w:val="28"/>
          <w:szCs w:val="28"/>
        </w:rPr>
        <w:t xml:space="preserve"> năm 2024 nguồn vốn viện trợ không hoàn lại là 21</w:t>
      </w:r>
      <w:r w:rsidR="004213C8">
        <w:rPr>
          <w:noProof/>
          <w:spacing w:val="-2"/>
          <w:sz w:val="28"/>
          <w:szCs w:val="28"/>
        </w:rPr>
        <w:t>,</w:t>
      </w:r>
      <w:r w:rsidRPr="0083726C">
        <w:rPr>
          <w:noProof/>
          <w:spacing w:val="-2"/>
          <w:sz w:val="28"/>
          <w:szCs w:val="28"/>
        </w:rPr>
        <w:t xml:space="preserve">284 </w:t>
      </w:r>
      <w:r w:rsidR="004213C8">
        <w:rPr>
          <w:noProof/>
          <w:spacing w:val="-2"/>
          <w:sz w:val="28"/>
          <w:szCs w:val="28"/>
        </w:rPr>
        <w:t>tỷ</w:t>
      </w:r>
      <w:r w:rsidRPr="0083726C">
        <w:rPr>
          <w:noProof/>
          <w:spacing w:val="-2"/>
          <w:sz w:val="28"/>
          <w:szCs w:val="28"/>
        </w:rPr>
        <w:t xml:space="preserve"> đồng và bổ sung tương ứng dự toán chi thường xuyên năm 2024 nguồn vốn viện trợ không hoàn lại là 21</w:t>
      </w:r>
      <w:r w:rsidR="004213C8">
        <w:rPr>
          <w:noProof/>
          <w:spacing w:val="-2"/>
          <w:sz w:val="28"/>
          <w:szCs w:val="28"/>
        </w:rPr>
        <w:t>,</w:t>
      </w:r>
      <w:r w:rsidRPr="0083726C">
        <w:rPr>
          <w:noProof/>
          <w:spacing w:val="-2"/>
          <w:sz w:val="28"/>
          <w:szCs w:val="28"/>
        </w:rPr>
        <w:t>284 t</w:t>
      </w:r>
      <w:r w:rsidR="004213C8">
        <w:rPr>
          <w:noProof/>
          <w:spacing w:val="-2"/>
          <w:sz w:val="28"/>
          <w:szCs w:val="28"/>
        </w:rPr>
        <w:t>ỷ</w:t>
      </w:r>
      <w:r w:rsidRPr="0083726C">
        <w:rPr>
          <w:noProof/>
          <w:spacing w:val="-2"/>
          <w:sz w:val="28"/>
          <w:szCs w:val="28"/>
        </w:rPr>
        <w:t xml:space="preserve"> đồng cho các</w:t>
      </w:r>
      <w:r w:rsidR="00B85290">
        <w:rPr>
          <w:noProof/>
          <w:spacing w:val="-2"/>
          <w:sz w:val="28"/>
          <w:szCs w:val="28"/>
        </w:rPr>
        <w:t xml:space="preserve"> B</w:t>
      </w:r>
      <w:r w:rsidRPr="0083726C">
        <w:rPr>
          <w:noProof/>
          <w:spacing w:val="-2"/>
          <w:sz w:val="28"/>
          <w:szCs w:val="28"/>
        </w:rPr>
        <w:t>ộ, cơ quan trung ương và địa phương, gồm: (i)</w:t>
      </w:r>
      <w:r w:rsidRPr="0083726C">
        <w:rPr>
          <w:noProof/>
          <w:sz w:val="28"/>
          <w:szCs w:val="28"/>
        </w:rPr>
        <w:t xml:space="preserve"> Liên hiệp các Tổ chức hữu nghị Việt Nam là 2</w:t>
      </w:r>
      <w:r w:rsidR="004213C8">
        <w:rPr>
          <w:noProof/>
          <w:sz w:val="28"/>
          <w:szCs w:val="28"/>
        </w:rPr>
        <w:t>,</w:t>
      </w:r>
      <w:r w:rsidRPr="0083726C">
        <w:rPr>
          <w:noProof/>
          <w:sz w:val="28"/>
          <w:szCs w:val="28"/>
        </w:rPr>
        <w:t>115 t</w:t>
      </w:r>
      <w:r w:rsidR="004213C8">
        <w:rPr>
          <w:noProof/>
          <w:sz w:val="28"/>
          <w:szCs w:val="28"/>
        </w:rPr>
        <w:t>ỷ</w:t>
      </w:r>
      <w:r w:rsidRPr="0083726C">
        <w:rPr>
          <w:noProof/>
          <w:sz w:val="28"/>
          <w:szCs w:val="28"/>
        </w:rPr>
        <w:t xml:space="preserve"> đồng chi sự nghiệp quản lý hành chính; (ii) Bộ Giao thông </w:t>
      </w:r>
      <w:r w:rsidR="00537EAD">
        <w:rPr>
          <w:noProof/>
          <w:sz w:val="28"/>
          <w:szCs w:val="28"/>
        </w:rPr>
        <w:t>v</w:t>
      </w:r>
      <w:r w:rsidRPr="0083726C">
        <w:rPr>
          <w:noProof/>
          <w:sz w:val="28"/>
          <w:szCs w:val="28"/>
        </w:rPr>
        <w:t xml:space="preserve">ận tải là </w:t>
      </w:r>
      <w:r w:rsidR="004213C8">
        <w:rPr>
          <w:noProof/>
          <w:sz w:val="28"/>
          <w:szCs w:val="28"/>
        </w:rPr>
        <w:t>0,</w:t>
      </w:r>
      <w:r w:rsidRPr="0083726C">
        <w:rPr>
          <w:noProof/>
          <w:sz w:val="28"/>
          <w:szCs w:val="28"/>
        </w:rPr>
        <w:t>567 t</w:t>
      </w:r>
      <w:r w:rsidR="004213C8">
        <w:rPr>
          <w:noProof/>
          <w:sz w:val="28"/>
          <w:szCs w:val="28"/>
        </w:rPr>
        <w:t>ỷ</w:t>
      </w:r>
      <w:r w:rsidRPr="0083726C">
        <w:rPr>
          <w:noProof/>
          <w:sz w:val="28"/>
          <w:szCs w:val="28"/>
        </w:rPr>
        <w:t xml:space="preserve"> đồng chi sự nghiệp giáo dục - đào tạo và dạy nghề; (iii)</w:t>
      </w:r>
      <w:r w:rsidRPr="0083726C">
        <w:rPr>
          <w:noProof/>
          <w:spacing w:val="4"/>
          <w:sz w:val="28"/>
          <w:szCs w:val="28"/>
        </w:rPr>
        <w:t xml:space="preserve"> Ủy ban nhân dân tỉnh Quảng Bình là 18</w:t>
      </w:r>
      <w:r w:rsidR="004213C8">
        <w:rPr>
          <w:noProof/>
          <w:spacing w:val="4"/>
          <w:sz w:val="28"/>
          <w:szCs w:val="28"/>
        </w:rPr>
        <w:t>,</w:t>
      </w:r>
      <w:r w:rsidRPr="0083726C">
        <w:rPr>
          <w:noProof/>
          <w:spacing w:val="4"/>
          <w:sz w:val="28"/>
          <w:szCs w:val="28"/>
        </w:rPr>
        <w:t>602 t</w:t>
      </w:r>
      <w:r w:rsidR="004213C8">
        <w:rPr>
          <w:noProof/>
          <w:spacing w:val="4"/>
          <w:sz w:val="28"/>
          <w:szCs w:val="28"/>
        </w:rPr>
        <w:t>ỷ</w:t>
      </w:r>
      <w:r w:rsidRPr="0083726C">
        <w:rPr>
          <w:noProof/>
          <w:spacing w:val="4"/>
          <w:sz w:val="28"/>
          <w:szCs w:val="28"/>
        </w:rPr>
        <w:t xml:space="preserve"> đồng chi sự nghiệp kinh tế.</w:t>
      </w:r>
    </w:p>
    <w:bookmarkEnd w:id="1"/>
    <w:p w14:paraId="633B38AD" w14:textId="2FB76845" w:rsidR="002A1826" w:rsidRPr="0083726C" w:rsidRDefault="002A1826" w:rsidP="004C2667">
      <w:pPr>
        <w:widowControl w:val="0"/>
        <w:spacing w:before="120" w:line="340" w:lineRule="exact"/>
        <w:ind w:firstLine="567"/>
        <w:jc w:val="both"/>
        <w:rPr>
          <w:noProof/>
          <w:sz w:val="28"/>
          <w:szCs w:val="28"/>
        </w:rPr>
      </w:pPr>
      <w:r w:rsidRPr="0083726C">
        <w:rPr>
          <w:b/>
          <w:noProof/>
          <w:sz w:val="28"/>
          <w:szCs w:val="28"/>
        </w:rPr>
        <w:t xml:space="preserve"> </w:t>
      </w:r>
      <w:r w:rsidRPr="0083726C">
        <w:rPr>
          <w:noProof/>
          <w:sz w:val="28"/>
          <w:szCs w:val="28"/>
        </w:rPr>
        <w:t xml:space="preserve"> Điều chỉnh dự toán chi thường xuyên nguồn vốn viện trợ không hoàn lại nước ngoài năm 2024 của Bộ Lao động, Thương binh và Xã hội như sau: (i) Giảm 54</w:t>
      </w:r>
      <w:r w:rsidR="00F34AB7">
        <w:rPr>
          <w:noProof/>
          <w:sz w:val="28"/>
          <w:szCs w:val="28"/>
        </w:rPr>
        <w:t>,</w:t>
      </w:r>
      <w:r w:rsidRPr="0083726C">
        <w:rPr>
          <w:noProof/>
          <w:sz w:val="28"/>
          <w:szCs w:val="28"/>
        </w:rPr>
        <w:t xml:space="preserve">004 </w:t>
      </w:r>
      <w:r w:rsidR="00F34AB7" w:rsidRPr="0083726C">
        <w:rPr>
          <w:noProof/>
          <w:sz w:val="28"/>
          <w:szCs w:val="28"/>
        </w:rPr>
        <w:t>t</w:t>
      </w:r>
      <w:r w:rsidR="00F34AB7">
        <w:rPr>
          <w:noProof/>
          <w:sz w:val="28"/>
          <w:szCs w:val="28"/>
        </w:rPr>
        <w:t>ỷ</w:t>
      </w:r>
      <w:r w:rsidR="00F34AB7" w:rsidRPr="0083726C">
        <w:rPr>
          <w:noProof/>
          <w:sz w:val="28"/>
          <w:szCs w:val="28"/>
        </w:rPr>
        <w:t xml:space="preserve"> </w:t>
      </w:r>
      <w:r w:rsidRPr="0083726C">
        <w:rPr>
          <w:noProof/>
          <w:sz w:val="28"/>
          <w:szCs w:val="28"/>
        </w:rPr>
        <w:t>đồng chi sự nghiệp kinh tế; (ii) Tăng 40</w:t>
      </w:r>
      <w:r w:rsidR="00F34AB7">
        <w:rPr>
          <w:noProof/>
          <w:sz w:val="28"/>
          <w:szCs w:val="28"/>
        </w:rPr>
        <w:t>,</w:t>
      </w:r>
      <w:r w:rsidRPr="0083726C">
        <w:rPr>
          <w:noProof/>
          <w:sz w:val="28"/>
          <w:szCs w:val="28"/>
        </w:rPr>
        <w:t xml:space="preserve">513 </w:t>
      </w:r>
      <w:r w:rsidR="00F34AB7" w:rsidRPr="0083726C">
        <w:rPr>
          <w:noProof/>
          <w:sz w:val="28"/>
          <w:szCs w:val="28"/>
        </w:rPr>
        <w:t>t</w:t>
      </w:r>
      <w:r w:rsidR="00F34AB7">
        <w:rPr>
          <w:noProof/>
          <w:sz w:val="28"/>
          <w:szCs w:val="28"/>
        </w:rPr>
        <w:t>ỷ</w:t>
      </w:r>
      <w:r w:rsidR="00F34AB7" w:rsidRPr="0083726C">
        <w:rPr>
          <w:noProof/>
          <w:sz w:val="28"/>
          <w:szCs w:val="28"/>
        </w:rPr>
        <w:t xml:space="preserve"> </w:t>
      </w:r>
      <w:r w:rsidRPr="0083726C">
        <w:rPr>
          <w:noProof/>
          <w:sz w:val="28"/>
          <w:szCs w:val="28"/>
        </w:rPr>
        <w:t>đồng chi sự nghiệp giáo dục - đào tạo và dạy nghề; (iii) Tăng 12</w:t>
      </w:r>
      <w:r w:rsidR="00F34AB7">
        <w:rPr>
          <w:noProof/>
          <w:sz w:val="28"/>
          <w:szCs w:val="28"/>
        </w:rPr>
        <w:t>,</w:t>
      </w:r>
      <w:r w:rsidRPr="0083726C">
        <w:rPr>
          <w:noProof/>
          <w:sz w:val="28"/>
          <w:szCs w:val="28"/>
        </w:rPr>
        <w:t xml:space="preserve">74 </w:t>
      </w:r>
      <w:r w:rsidR="00F34AB7" w:rsidRPr="0083726C">
        <w:rPr>
          <w:noProof/>
          <w:sz w:val="28"/>
          <w:szCs w:val="28"/>
        </w:rPr>
        <w:t>t</w:t>
      </w:r>
      <w:r w:rsidR="00F34AB7">
        <w:rPr>
          <w:noProof/>
          <w:sz w:val="28"/>
          <w:szCs w:val="28"/>
        </w:rPr>
        <w:t xml:space="preserve">ỷ </w:t>
      </w:r>
      <w:r w:rsidRPr="0083726C">
        <w:rPr>
          <w:noProof/>
          <w:sz w:val="28"/>
          <w:szCs w:val="28"/>
        </w:rPr>
        <w:t xml:space="preserve">đồng chi sự nghiệp bảo đảm xã hội; (iv) Tăng </w:t>
      </w:r>
      <w:r w:rsidR="00F34AB7">
        <w:rPr>
          <w:noProof/>
          <w:sz w:val="28"/>
          <w:szCs w:val="28"/>
        </w:rPr>
        <w:t>0,</w:t>
      </w:r>
      <w:r w:rsidRPr="0083726C">
        <w:rPr>
          <w:noProof/>
          <w:sz w:val="28"/>
          <w:szCs w:val="28"/>
        </w:rPr>
        <w:t xml:space="preserve">751 </w:t>
      </w:r>
      <w:r w:rsidR="00F34AB7" w:rsidRPr="0083726C">
        <w:rPr>
          <w:noProof/>
          <w:sz w:val="28"/>
          <w:szCs w:val="28"/>
        </w:rPr>
        <w:t>t</w:t>
      </w:r>
      <w:r w:rsidR="00F34AB7">
        <w:rPr>
          <w:noProof/>
          <w:sz w:val="28"/>
          <w:szCs w:val="28"/>
        </w:rPr>
        <w:t>ỷ</w:t>
      </w:r>
      <w:r w:rsidR="00F34AB7" w:rsidRPr="0083726C">
        <w:rPr>
          <w:noProof/>
          <w:sz w:val="28"/>
          <w:szCs w:val="28"/>
        </w:rPr>
        <w:t xml:space="preserve"> </w:t>
      </w:r>
      <w:r w:rsidRPr="0083726C">
        <w:rPr>
          <w:noProof/>
          <w:sz w:val="28"/>
          <w:szCs w:val="28"/>
        </w:rPr>
        <w:t>đồng chi sự nghiệp khoa học công nghệ.</w:t>
      </w:r>
    </w:p>
    <w:p w14:paraId="71FA1D7C" w14:textId="41F95E8C" w:rsidR="00F12648" w:rsidRDefault="00F12648" w:rsidP="004C2667">
      <w:pPr>
        <w:widowControl w:val="0"/>
        <w:spacing w:before="120" w:line="340" w:lineRule="exact"/>
        <w:ind w:firstLine="567"/>
        <w:jc w:val="both"/>
        <w:rPr>
          <w:noProof/>
          <w:spacing w:val="-2"/>
          <w:sz w:val="28"/>
          <w:szCs w:val="28"/>
        </w:rPr>
      </w:pPr>
      <w:r w:rsidRPr="005345F2">
        <w:rPr>
          <w:bCs/>
          <w:sz w:val="28"/>
          <w:szCs w:val="28"/>
        </w:rPr>
        <w:t>2</w:t>
      </w:r>
      <w:r w:rsidR="002A1826" w:rsidRPr="005345F2">
        <w:rPr>
          <w:bCs/>
          <w:sz w:val="28"/>
          <w:szCs w:val="28"/>
        </w:rPr>
        <w:t>.</w:t>
      </w:r>
      <w:r w:rsidR="002A1826" w:rsidRPr="0083726C">
        <w:rPr>
          <w:b/>
          <w:bCs/>
          <w:sz w:val="28"/>
          <w:szCs w:val="28"/>
        </w:rPr>
        <w:t xml:space="preserve"> </w:t>
      </w:r>
      <w:r>
        <w:rPr>
          <w:noProof/>
          <w:spacing w:val="-2"/>
          <w:sz w:val="28"/>
          <w:szCs w:val="28"/>
        </w:rPr>
        <w:t>Điều chỉnh tăng 360</w:t>
      </w:r>
      <w:r w:rsidR="00DF35CD">
        <w:rPr>
          <w:noProof/>
          <w:spacing w:val="-2"/>
          <w:sz w:val="28"/>
          <w:szCs w:val="28"/>
        </w:rPr>
        <w:t>,</w:t>
      </w:r>
      <w:r>
        <w:rPr>
          <w:noProof/>
          <w:spacing w:val="-2"/>
          <w:sz w:val="28"/>
          <w:szCs w:val="28"/>
        </w:rPr>
        <w:t xml:space="preserve">245 </w:t>
      </w:r>
      <w:r w:rsidR="00DF35CD">
        <w:rPr>
          <w:noProof/>
          <w:spacing w:val="-2"/>
          <w:sz w:val="28"/>
          <w:szCs w:val="28"/>
        </w:rPr>
        <w:t xml:space="preserve">tỷ </w:t>
      </w:r>
      <w:r>
        <w:rPr>
          <w:noProof/>
          <w:spacing w:val="-2"/>
          <w:sz w:val="28"/>
          <w:szCs w:val="28"/>
        </w:rPr>
        <w:t>đồng vốn vay lại nước ngoài năm 2024 cho 07 địa phương; đồng thời điều chỉnh giảm 406</w:t>
      </w:r>
      <w:r w:rsidR="00DF35CD">
        <w:rPr>
          <w:noProof/>
          <w:spacing w:val="-2"/>
          <w:sz w:val="28"/>
          <w:szCs w:val="28"/>
        </w:rPr>
        <w:t>,</w:t>
      </w:r>
      <w:r>
        <w:rPr>
          <w:noProof/>
          <w:spacing w:val="-2"/>
          <w:sz w:val="28"/>
          <w:szCs w:val="28"/>
        </w:rPr>
        <w:t xml:space="preserve">035 </w:t>
      </w:r>
      <w:r w:rsidR="00DF35CD">
        <w:rPr>
          <w:noProof/>
          <w:spacing w:val="-2"/>
          <w:sz w:val="28"/>
          <w:szCs w:val="28"/>
        </w:rPr>
        <w:t xml:space="preserve">tỷ </w:t>
      </w:r>
      <w:r>
        <w:rPr>
          <w:noProof/>
          <w:spacing w:val="-2"/>
          <w:sz w:val="28"/>
          <w:szCs w:val="28"/>
        </w:rPr>
        <w:t xml:space="preserve">đồng dự toán vốn vay lại nước ngoài năm 2024 của 12 địa phương như Tờ trình </w:t>
      </w:r>
      <w:r w:rsidRPr="00C53411">
        <w:rPr>
          <w:sz w:val="28"/>
          <w:szCs w:val="28"/>
        </w:rPr>
        <w:t xml:space="preserve">số </w:t>
      </w:r>
      <w:r>
        <w:rPr>
          <w:sz w:val="28"/>
          <w:szCs w:val="28"/>
        </w:rPr>
        <w:t>697</w:t>
      </w:r>
      <w:r w:rsidRPr="00C53411">
        <w:rPr>
          <w:sz w:val="28"/>
          <w:szCs w:val="28"/>
        </w:rPr>
        <w:t xml:space="preserve">/TTr-CP ngày </w:t>
      </w:r>
      <w:r>
        <w:rPr>
          <w:sz w:val="28"/>
          <w:szCs w:val="28"/>
        </w:rPr>
        <w:t>23</w:t>
      </w:r>
      <w:r w:rsidR="00781CD2">
        <w:rPr>
          <w:sz w:val="28"/>
          <w:szCs w:val="28"/>
        </w:rPr>
        <w:t xml:space="preserve"> tháng </w:t>
      </w:r>
      <w:r>
        <w:rPr>
          <w:sz w:val="28"/>
          <w:szCs w:val="28"/>
        </w:rPr>
        <w:t>10</w:t>
      </w:r>
      <w:r w:rsidR="00781CD2">
        <w:rPr>
          <w:sz w:val="28"/>
          <w:szCs w:val="28"/>
        </w:rPr>
        <w:t xml:space="preserve"> năm </w:t>
      </w:r>
      <w:r w:rsidRPr="00C53411">
        <w:rPr>
          <w:sz w:val="28"/>
          <w:szCs w:val="28"/>
        </w:rPr>
        <w:t>202</w:t>
      </w:r>
      <w:r>
        <w:rPr>
          <w:sz w:val="28"/>
          <w:szCs w:val="28"/>
        </w:rPr>
        <w:t>4</w:t>
      </w:r>
      <w:r w:rsidRPr="00C53411">
        <w:rPr>
          <w:sz w:val="28"/>
          <w:szCs w:val="28"/>
        </w:rPr>
        <w:t xml:space="preserve"> của Chính phủ</w:t>
      </w:r>
      <w:r>
        <w:rPr>
          <w:noProof/>
          <w:spacing w:val="-2"/>
          <w:sz w:val="28"/>
          <w:szCs w:val="28"/>
        </w:rPr>
        <w:t>.</w:t>
      </w:r>
    </w:p>
    <w:p w14:paraId="234A19AE" w14:textId="05BA55EF" w:rsidR="00F367E5" w:rsidRPr="00F367E5" w:rsidRDefault="00D41780" w:rsidP="004C2667">
      <w:pPr>
        <w:widowControl w:val="0"/>
        <w:spacing w:before="120" w:line="340" w:lineRule="exact"/>
        <w:ind w:firstLine="567"/>
        <w:jc w:val="both"/>
        <w:rPr>
          <w:sz w:val="28"/>
          <w:szCs w:val="28"/>
          <w:lang w:val="en-GB"/>
        </w:rPr>
      </w:pPr>
      <w:r w:rsidRPr="005345F2">
        <w:rPr>
          <w:noProof/>
          <w:spacing w:val="4"/>
          <w:sz w:val="28"/>
          <w:szCs w:val="28"/>
        </w:rPr>
        <w:t>3</w:t>
      </w:r>
      <w:r w:rsidR="00F12648" w:rsidRPr="005345F2">
        <w:rPr>
          <w:noProof/>
          <w:spacing w:val="4"/>
          <w:sz w:val="28"/>
          <w:szCs w:val="28"/>
        </w:rPr>
        <w:t>.</w:t>
      </w:r>
      <w:r w:rsidR="00F12648" w:rsidRPr="00F367E5">
        <w:rPr>
          <w:noProof/>
          <w:spacing w:val="4"/>
          <w:sz w:val="28"/>
          <w:szCs w:val="28"/>
        </w:rPr>
        <w:t xml:space="preserve"> </w:t>
      </w:r>
      <w:r w:rsidR="00F367E5" w:rsidRPr="00F367E5">
        <w:rPr>
          <w:noProof/>
          <w:sz w:val="28"/>
          <w:szCs w:val="28"/>
        </w:rPr>
        <w:t>B</w:t>
      </w:r>
      <w:r w:rsidR="00F367E5" w:rsidRPr="00F367E5">
        <w:rPr>
          <w:sz w:val="28"/>
          <w:szCs w:val="28"/>
          <w:lang w:val="en-GB"/>
        </w:rPr>
        <w:t xml:space="preserve">ổ sung dự toán thu </w:t>
      </w:r>
      <w:r w:rsidR="00F367E5" w:rsidRPr="005345F2">
        <w:rPr>
          <w:sz w:val="28"/>
          <w:szCs w:val="28"/>
          <w:lang w:val="en-GB"/>
        </w:rPr>
        <w:t xml:space="preserve">phí chứng nhận xuất xứ hàng hóa năm 2024 do Bộ Công </w:t>
      </w:r>
      <w:r w:rsidR="00BE598F">
        <w:rPr>
          <w:sz w:val="28"/>
          <w:szCs w:val="28"/>
          <w:lang w:val="en-GB"/>
        </w:rPr>
        <w:t>T</w:t>
      </w:r>
      <w:r w:rsidR="00F367E5" w:rsidRPr="005345F2">
        <w:rPr>
          <w:sz w:val="28"/>
          <w:szCs w:val="28"/>
          <w:lang w:val="en-GB"/>
        </w:rPr>
        <w:t>hương tổ chức thu là 118</w:t>
      </w:r>
      <w:r w:rsidR="00DF35CD">
        <w:rPr>
          <w:sz w:val="28"/>
          <w:szCs w:val="28"/>
          <w:lang w:val="en-GB"/>
        </w:rPr>
        <w:t>,</w:t>
      </w:r>
      <w:r w:rsidR="00F367E5" w:rsidRPr="005345F2">
        <w:rPr>
          <w:sz w:val="28"/>
          <w:szCs w:val="28"/>
          <w:lang w:val="en-GB"/>
        </w:rPr>
        <w:t xml:space="preserve">591 </w:t>
      </w:r>
      <w:r w:rsidR="00DF35CD" w:rsidRPr="005345F2">
        <w:rPr>
          <w:sz w:val="28"/>
          <w:szCs w:val="28"/>
          <w:lang w:val="en-GB"/>
        </w:rPr>
        <w:t>t</w:t>
      </w:r>
      <w:r w:rsidR="00DF35CD">
        <w:rPr>
          <w:sz w:val="28"/>
          <w:szCs w:val="28"/>
          <w:lang w:val="en-GB"/>
        </w:rPr>
        <w:t xml:space="preserve">ỷ </w:t>
      </w:r>
      <w:r w:rsidR="00F367E5" w:rsidRPr="005345F2">
        <w:rPr>
          <w:sz w:val="28"/>
          <w:szCs w:val="28"/>
          <w:lang w:val="en-GB"/>
        </w:rPr>
        <w:t>đồng, trong đó: số nộp</w:t>
      </w:r>
      <w:r w:rsidR="00F367E5" w:rsidRPr="00F367E5">
        <w:rPr>
          <w:sz w:val="28"/>
          <w:szCs w:val="28"/>
          <w:lang w:val="en-GB"/>
        </w:rPr>
        <w:t xml:space="preserve"> ngân sách trung ương năm 2024 </w:t>
      </w:r>
      <w:r w:rsidR="00F367E5" w:rsidRPr="005345F2">
        <w:rPr>
          <w:sz w:val="28"/>
          <w:szCs w:val="28"/>
          <w:lang w:val="en-GB"/>
        </w:rPr>
        <w:t>là 75</w:t>
      </w:r>
      <w:r w:rsidR="00DF35CD">
        <w:rPr>
          <w:sz w:val="28"/>
          <w:szCs w:val="28"/>
          <w:lang w:val="en-GB"/>
        </w:rPr>
        <w:t>,</w:t>
      </w:r>
      <w:r w:rsidR="00F367E5" w:rsidRPr="005345F2">
        <w:rPr>
          <w:sz w:val="28"/>
          <w:szCs w:val="28"/>
          <w:lang w:val="en-GB"/>
        </w:rPr>
        <w:t xml:space="preserve">341 </w:t>
      </w:r>
      <w:r w:rsidR="00DF35CD" w:rsidRPr="005345F2">
        <w:rPr>
          <w:sz w:val="28"/>
          <w:szCs w:val="28"/>
          <w:lang w:val="en-GB"/>
        </w:rPr>
        <w:t>t</w:t>
      </w:r>
      <w:r w:rsidR="00DF35CD">
        <w:rPr>
          <w:sz w:val="28"/>
          <w:szCs w:val="28"/>
          <w:lang w:val="en-GB"/>
        </w:rPr>
        <w:t>ỷ</w:t>
      </w:r>
      <w:r w:rsidR="00DF35CD" w:rsidRPr="005345F2">
        <w:rPr>
          <w:sz w:val="28"/>
          <w:szCs w:val="28"/>
          <w:lang w:val="en-GB"/>
        </w:rPr>
        <w:t xml:space="preserve"> </w:t>
      </w:r>
      <w:r w:rsidR="00F367E5" w:rsidRPr="005345F2">
        <w:rPr>
          <w:sz w:val="28"/>
          <w:szCs w:val="28"/>
          <w:lang w:val="en-GB"/>
        </w:rPr>
        <w:t xml:space="preserve">đồng; số thu phí để lại cho Bộ Công </w:t>
      </w:r>
      <w:r w:rsidR="00BE598F">
        <w:rPr>
          <w:sz w:val="28"/>
          <w:szCs w:val="28"/>
          <w:lang w:val="en-GB"/>
        </w:rPr>
        <w:t>T</w:t>
      </w:r>
      <w:r w:rsidR="00F367E5" w:rsidRPr="005345F2">
        <w:rPr>
          <w:sz w:val="28"/>
          <w:szCs w:val="28"/>
          <w:lang w:val="en-GB"/>
        </w:rPr>
        <w:t>hương là 43</w:t>
      </w:r>
      <w:r w:rsidR="00DF35CD">
        <w:rPr>
          <w:sz w:val="28"/>
          <w:szCs w:val="28"/>
          <w:lang w:val="en-GB"/>
        </w:rPr>
        <w:t>,</w:t>
      </w:r>
      <w:r w:rsidR="00F367E5" w:rsidRPr="005345F2">
        <w:rPr>
          <w:sz w:val="28"/>
          <w:szCs w:val="28"/>
          <w:lang w:val="en-GB"/>
        </w:rPr>
        <w:t xml:space="preserve">25 </w:t>
      </w:r>
      <w:r w:rsidR="00DF35CD" w:rsidRPr="005345F2">
        <w:rPr>
          <w:sz w:val="28"/>
          <w:szCs w:val="28"/>
          <w:lang w:val="en-GB"/>
        </w:rPr>
        <w:t>t</w:t>
      </w:r>
      <w:r w:rsidR="00DF35CD">
        <w:rPr>
          <w:sz w:val="28"/>
          <w:szCs w:val="28"/>
          <w:lang w:val="en-GB"/>
        </w:rPr>
        <w:t>ỷ</w:t>
      </w:r>
      <w:r w:rsidR="00DF35CD" w:rsidRPr="005345F2">
        <w:rPr>
          <w:sz w:val="28"/>
          <w:szCs w:val="28"/>
          <w:lang w:val="en-GB"/>
        </w:rPr>
        <w:t xml:space="preserve"> </w:t>
      </w:r>
      <w:r w:rsidR="00F367E5" w:rsidRPr="005345F2">
        <w:rPr>
          <w:sz w:val="28"/>
          <w:szCs w:val="28"/>
          <w:lang w:val="en-GB"/>
        </w:rPr>
        <w:t>đồng</w:t>
      </w:r>
      <w:r w:rsidR="00F367E5" w:rsidRPr="00F367E5">
        <w:rPr>
          <w:sz w:val="28"/>
          <w:szCs w:val="28"/>
          <w:lang w:val="en-GB"/>
        </w:rPr>
        <w:t>.</w:t>
      </w:r>
    </w:p>
    <w:p w14:paraId="6CC7F6F5" w14:textId="6D77C917" w:rsidR="00F367E5" w:rsidRPr="004E64AC" w:rsidRDefault="00F367E5" w:rsidP="004C2667">
      <w:pPr>
        <w:widowControl w:val="0"/>
        <w:spacing w:before="120" w:line="340" w:lineRule="exact"/>
        <w:ind w:firstLine="567"/>
        <w:jc w:val="both"/>
        <w:rPr>
          <w:sz w:val="28"/>
          <w:szCs w:val="28"/>
          <w:lang w:val="en-GB"/>
        </w:rPr>
      </w:pPr>
      <w:r w:rsidRPr="004E64AC">
        <w:rPr>
          <w:sz w:val="28"/>
          <w:szCs w:val="28"/>
          <w:lang w:val="en-GB"/>
        </w:rPr>
        <w:t>Giao Chính phủ</w:t>
      </w:r>
      <w:r w:rsidRPr="004E64AC">
        <w:rPr>
          <w:b/>
          <w:sz w:val="28"/>
          <w:szCs w:val="28"/>
          <w:lang w:val="en-GB"/>
        </w:rPr>
        <w:t xml:space="preserve"> </w:t>
      </w:r>
      <w:r w:rsidRPr="004E64AC">
        <w:rPr>
          <w:sz w:val="28"/>
          <w:szCs w:val="28"/>
          <w:lang w:val="en-GB"/>
        </w:rPr>
        <w:t xml:space="preserve">bổ sung dự toán chi cho Bộ Công </w:t>
      </w:r>
      <w:r w:rsidR="00BE598F">
        <w:rPr>
          <w:sz w:val="28"/>
          <w:szCs w:val="28"/>
          <w:lang w:val="en-GB"/>
        </w:rPr>
        <w:t>T</w:t>
      </w:r>
      <w:r w:rsidRPr="004E64AC">
        <w:rPr>
          <w:sz w:val="28"/>
          <w:szCs w:val="28"/>
          <w:lang w:val="en-GB"/>
        </w:rPr>
        <w:t>hương từ nguồn thu phí chứng nhận xuất xứ hàng hóa để lại năm 2024 là 43</w:t>
      </w:r>
      <w:r w:rsidR="00291D5A">
        <w:rPr>
          <w:sz w:val="28"/>
          <w:szCs w:val="28"/>
          <w:lang w:val="en-GB"/>
        </w:rPr>
        <w:t>,</w:t>
      </w:r>
      <w:r w:rsidRPr="004E64AC">
        <w:rPr>
          <w:sz w:val="28"/>
          <w:szCs w:val="28"/>
          <w:lang w:val="en-GB"/>
        </w:rPr>
        <w:t xml:space="preserve">25 </w:t>
      </w:r>
      <w:r w:rsidR="00291D5A" w:rsidRPr="004E64AC">
        <w:rPr>
          <w:sz w:val="28"/>
          <w:szCs w:val="28"/>
          <w:lang w:val="en-GB"/>
        </w:rPr>
        <w:t>t</w:t>
      </w:r>
      <w:r w:rsidR="00291D5A">
        <w:rPr>
          <w:sz w:val="28"/>
          <w:szCs w:val="28"/>
          <w:lang w:val="en-GB"/>
        </w:rPr>
        <w:t>ỷ</w:t>
      </w:r>
      <w:r w:rsidR="00291D5A" w:rsidRPr="004E64AC">
        <w:rPr>
          <w:sz w:val="28"/>
          <w:szCs w:val="28"/>
          <w:lang w:val="en-GB"/>
        </w:rPr>
        <w:t xml:space="preserve"> </w:t>
      </w:r>
      <w:r w:rsidRPr="004E64AC">
        <w:rPr>
          <w:sz w:val="28"/>
          <w:szCs w:val="28"/>
          <w:lang w:val="en-GB"/>
        </w:rPr>
        <w:t xml:space="preserve">đồng để chi cho nhiệm vụ theo quy định của pháp luật. </w:t>
      </w:r>
    </w:p>
    <w:p w14:paraId="4E5A1189" w14:textId="276A57CA" w:rsidR="004400FC" w:rsidRPr="00397788" w:rsidRDefault="004400FC" w:rsidP="004C2667">
      <w:pPr>
        <w:widowControl w:val="0"/>
        <w:spacing w:before="120" w:line="340" w:lineRule="exact"/>
        <w:ind w:firstLine="567"/>
        <w:jc w:val="both"/>
        <w:rPr>
          <w:rFonts w:eastAsia="Calibri"/>
          <w:bCs/>
          <w:sz w:val="28"/>
          <w:szCs w:val="28"/>
          <w:lang w:val="nl-NL"/>
        </w:rPr>
      </w:pPr>
      <w:r w:rsidRPr="00397788">
        <w:rPr>
          <w:rFonts w:eastAsia="Calibri"/>
          <w:sz w:val="28"/>
          <w:szCs w:val="28"/>
          <w:lang w:val="nl-NL"/>
        </w:rPr>
        <w:t>4.</w:t>
      </w:r>
      <w:r w:rsidRPr="00397788">
        <w:rPr>
          <w:rFonts w:eastAsia="Calibri"/>
          <w:bCs/>
          <w:sz w:val="28"/>
          <w:szCs w:val="28"/>
          <w:lang w:val="nl-NL"/>
        </w:rPr>
        <w:t xml:space="preserve"> Dự toán, kế hoạch </w:t>
      </w:r>
      <w:r w:rsidR="00E5421F">
        <w:rPr>
          <w:rFonts w:eastAsia="Calibri"/>
          <w:bCs/>
          <w:sz w:val="28"/>
          <w:szCs w:val="28"/>
          <w:lang w:val="nl-NL"/>
        </w:rPr>
        <w:t xml:space="preserve">đầu tư công </w:t>
      </w:r>
      <w:r w:rsidRPr="00397788">
        <w:rPr>
          <w:rFonts w:eastAsia="Calibri"/>
          <w:bCs/>
          <w:sz w:val="28"/>
          <w:szCs w:val="28"/>
          <w:lang w:val="nl-NL"/>
        </w:rPr>
        <w:t>vốn ngân sách trung ương năm 2025 từ nguồn tăng thu ngân sách trung ương</w:t>
      </w:r>
      <w:r w:rsidR="004D4E7F" w:rsidRPr="00397788">
        <w:rPr>
          <w:rFonts w:eastAsia="Calibri"/>
          <w:bCs/>
          <w:sz w:val="28"/>
          <w:szCs w:val="28"/>
          <w:lang w:val="nl-NL"/>
        </w:rPr>
        <w:t xml:space="preserve"> </w:t>
      </w:r>
      <w:r w:rsidRPr="00397788">
        <w:rPr>
          <w:rFonts w:eastAsia="Calibri"/>
          <w:bCs/>
          <w:sz w:val="28"/>
          <w:szCs w:val="28"/>
          <w:lang w:val="nl-NL"/>
        </w:rPr>
        <w:t>năm 2022</w:t>
      </w:r>
    </w:p>
    <w:p w14:paraId="705F8A69" w14:textId="35B6B188" w:rsidR="004400FC" w:rsidRPr="008C2F37" w:rsidRDefault="0056719D" w:rsidP="004C2667">
      <w:pPr>
        <w:widowControl w:val="0"/>
        <w:spacing w:before="120" w:line="340" w:lineRule="exact"/>
        <w:ind w:firstLine="567"/>
        <w:jc w:val="both"/>
        <w:rPr>
          <w:rFonts w:eastAsia="Calibri"/>
          <w:bCs/>
          <w:sz w:val="28"/>
          <w:szCs w:val="28"/>
          <w:lang w:val="nl-NL"/>
        </w:rPr>
      </w:pPr>
      <w:r w:rsidRPr="008C2F37">
        <w:rPr>
          <w:rFonts w:eastAsia="Calibri"/>
          <w:bCs/>
          <w:sz w:val="28"/>
          <w:szCs w:val="28"/>
          <w:lang w:val="nl-NL"/>
        </w:rPr>
        <w:t>a)</w:t>
      </w:r>
      <w:r w:rsidR="004400FC" w:rsidRPr="008C2F37">
        <w:rPr>
          <w:rFonts w:eastAsia="Calibri"/>
          <w:bCs/>
          <w:sz w:val="28"/>
          <w:szCs w:val="28"/>
          <w:lang w:val="nl-NL"/>
        </w:rPr>
        <w:t xml:space="preserve"> Cho phép chuyển nguồn </w:t>
      </w:r>
      <w:r w:rsidR="004400FC" w:rsidRPr="008C2F37">
        <w:rPr>
          <w:rFonts w:eastAsia="Calibri"/>
          <w:bCs/>
          <w:sz w:val="28"/>
          <w:szCs w:val="28"/>
          <w:lang w:val="es-ES"/>
        </w:rPr>
        <w:t>56.136,146 tỷ đồng</w:t>
      </w:r>
      <w:r w:rsidR="004400FC" w:rsidRPr="008C2F37">
        <w:rPr>
          <w:rFonts w:eastAsia="Calibri"/>
          <w:bCs/>
          <w:sz w:val="28"/>
          <w:szCs w:val="28"/>
          <w:lang w:val="nl-NL"/>
        </w:rPr>
        <w:t xml:space="preserve"> nguồn tăng thu ngân sách trung ương</w:t>
      </w:r>
      <w:r w:rsidR="004D4E7F" w:rsidRPr="008C2F37">
        <w:rPr>
          <w:rFonts w:eastAsia="Calibri"/>
          <w:bCs/>
          <w:sz w:val="28"/>
          <w:szCs w:val="28"/>
          <w:lang w:val="nl-NL"/>
        </w:rPr>
        <w:t xml:space="preserve"> </w:t>
      </w:r>
      <w:r w:rsidR="004400FC" w:rsidRPr="008C2F37">
        <w:rPr>
          <w:rFonts w:eastAsia="Calibri"/>
          <w:bCs/>
          <w:sz w:val="28"/>
          <w:szCs w:val="28"/>
          <w:lang w:val="nl-NL"/>
        </w:rPr>
        <w:t>năm 2022 còn lại chưa phân bổ để bố trí dự toán, kế hoạch đầu tư công vốn ngân sách trung ương</w:t>
      </w:r>
      <w:r w:rsidR="00F77ADA">
        <w:rPr>
          <w:rFonts w:eastAsia="Calibri"/>
          <w:bCs/>
          <w:sz w:val="28"/>
          <w:szCs w:val="28"/>
          <w:lang w:val="nl-NL"/>
        </w:rPr>
        <w:t xml:space="preserve"> </w:t>
      </w:r>
      <w:r w:rsidR="004400FC" w:rsidRPr="008C2F37">
        <w:rPr>
          <w:rFonts w:eastAsia="Calibri"/>
          <w:bCs/>
          <w:sz w:val="28"/>
          <w:szCs w:val="28"/>
          <w:lang w:val="nl-NL"/>
        </w:rPr>
        <w:t xml:space="preserve">năm 2025 cho các nhiệm vụ, dự án được Quốc hội cho phép sử dụng dự phòng chung của </w:t>
      </w:r>
      <w:r w:rsidR="00E05DB2">
        <w:rPr>
          <w:rFonts w:eastAsia="Calibri"/>
          <w:bCs/>
          <w:sz w:val="28"/>
          <w:szCs w:val="28"/>
          <w:lang w:val="nl-NL"/>
        </w:rPr>
        <w:t>K</w:t>
      </w:r>
      <w:r w:rsidR="004400FC" w:rsidRPr="008C2F37">
        <w:rPr>
          <w:rFonts w:eastAsia="Calibri"/>
          <w:bCs/>
          <w:sz w:val="28"/>
          <w:szCs w:val="28"/>
          <w:lang w:val="nl-NL"/>
        </w:rPr>
        <w:t>ế hoạch đầu tư công trung hạn giai đoạn 2021-2025 tại Nghị quyết số 112/2024/QH15 ngày 18</w:t>
      </w:r>
      <w:r w:rsidR="00781CD2" w:rsidRPr="008C2F37">
        <w:rPr>
          <w:rFonts w:eastAsia="Calibri"/>
          <w:bCs/>
          <w:sz w:val="28"/>
          <w:szCs w:val="28"/>
          <w:lang w:val="nl-NL"/>
        </w:rPr>
        <w:t xml:space="preserve"> tháng </w:t>
      </w:r>
      <w:r w:rsidR="004400FC" w:rsidRPr="008C2F37">
        <w:rPr>
          <w:rFonts w:eastAsia="Calibri"/>
          <w:bCs/>
          <w:sz w:val="28"/>
          <w:szCs w:val="28"/>
          <w:lang w:val="nl-NL"/>
        </w:rPr>
        <w:t>01</w:t>
      </w:r>
      <w:r w:rsidR="00781CD2" w:rsidRPr="008C2F37">
        <w:rPr>
          <w:rFonts w:eastAsia="Calibri"/>
          <w:bCs/>
          <w:sz w:val="28"/>
          <w:szCs w:val="28"/>
          <w:lang w:val="nl-NL"/>
        </w:rPr>
        <w:t xml:space="preserve"> năm </w:t>
      </w:r>
      <w:r w:rsidR="004400FC" w:rsidRPr="008C2F37">
        <w:rPr>
          <w:rFonts w:eastAsia="Calibri"/>
          <w:bCs/>
          <w:sz w:val="28"/>
          <w:szCs w:val="28"/>
          <w:lang w:val="nl-NL"/>
        </w:rPr>
        <w:t>2024 của Quốc hội, trong đó:</w:t>
      </w:r>
    </w:p>
    <w:p w14:paraId="1C4DCF97" w14:textId="5ED1F5AD" w:rsidR="004400FC" w:rsidRPr="004400FC" w:rsidRDefault="004400FC" w:rsidP="004C2667">
      <w:pPr>
        <w:widowControl w:val="0"/>
        <w:spacing w:before="120" w:line="340" w:lineRule="exact"/>
        <w:ind w:firstLine="567"/>
        <w:jc w:val="both"/>
        <w:rPr>
          <w:rFonts w:eastAsia="Calibri"/>
          <w:bCs/>
          <w:sz w:val="28"/>
          <w:szCs w:val="28"/>
          <w:lang w:val="nl-NL"/>
        </w:rPr>
      </w:pPr>
      <w:r w:rsidRPr="004400FC">
        <w:rPr>
          <w:rFonts w:eastAsia="Calibri"/>
          <w:bCs/>
          <w:sz w:val="28"/>
          <w:szCs w:val="28"/>
          <w:lang w:val="nl-NL"/>
        </w:rPr>
        <w:t xml:space="preserve">+ Phân bổ </w:t>
      </w:r>
      <w:r w:rsidR="00F367E5" w:rsidRPr="00B17C69">
        <w:rPr>
          <w:rFonts w:eastAsia="Calibri"/>
          <w:bCs/>
          <w:sz w:val="28"/>
          <w:szCs w:val="28"/>
          <w:lang w:val="es-ES"/>
        </w:rPr>
        <w:t>47.601,121</w:t>
      </w:r>
      <w:r w:rsidR="00F367E5" w:rsidRPr="004400FC">
        <w:rPr>
          <w:rFonts w:eastAsia="Calibri"/>
          <w:b/>
          <w:bCs/>
          <w:sz w:val="28"/>
          <w:szCs w:val="28"/>
          <w:lang w:val="es-ES"/>
        </w:rPr>
        <w:t xml:space="preserve"> </w:t>
      </w:r>
      <w:r w:rsidR="00F367E5" w:rsidRPr="004400FC">
        <w:rPr>
          <w:rFonts w:eastAsia="Calibri"/>
          <w:bCs/>
          <w:sz w:val="28"/>
          <w:szCs w:val="28"/>
          <w:lang w:val="es-ES"/>
        </w:rPr>
        <w:t>tỷ đồng</w:t>
      </w:r>
      <w:r w:rsidR="00F367E5" w:rsidRPr="004400FC">
        <w:rPr>
          <w:rFonts w:eastAsia="Calibri"/>
          <w:bCs/>
          <w:sz w:val="28"/>
          <w:szCs w:val="28"/>
          <w:lang w:val="nl-NL"/>
        </w:rPr>
        <w:t xml:space="preserve"> </w:t>
      </w:r>
      <w:r w:rsidRPr="004400FC">
        <w:rPr>
          <w:rFonts w:eastAsia="Calibri"/>
          <w:bCs/>
          <w:sz w:val="28"/>
          <w:szCs w:val="28"/>
          <w:lang w:val="nl-NL"/>
        </w:rPr>
        <w:t xml:space="preserve">dự toán, kế hoạch </w:t>
      </w:r>
      <w:r w:rsidR="00E5421F">
        <w:rPr>
          <w:rFonts w:eastAsia="Calibri"/>
          <w:bCs/>
          <w:sz w:val="28"/>
          <w:szCs w:val="28"/>
          <w:lang w:val="nl-NL"/>
        </w:rPr>
        <w:t xml:space="preserve">đầu tư công </w:t>
      </w:r>
      <w:r w:rsidRPr="004400FC">
        <w:rPr>
          <w:rFonts w:eastAsia="Calibri"/>
          <w:bCs/>
          <w:sz w:val="28"/>
          <w:szCs w:val="28"/>
          <w:lang w:val="nl-NL"/>
        </w:rPr>
        <w:t xml:space="preserve">vốn </w:t>
      </w:r>
      <w:r w:rsidRPr="004400FC">
        <w:rPr>
          <w:rFonts w:eastAsia="Calibri"/>
          <w:bCs/>
          <w:spacing w:val="-10"/>
          <w:sz w:val="28"/>
          <w:szCs w:val="28"/>
          <w:lang w:val="nl-NL"/>
        </w:rPr>
        <w:t xml:space="preserve">ngân sách trung ương </w:t>
      </w:r>
      <w:r w:rsidRPr="004400FC">
        <w:rPr>
          <w:rFonts w:eastAsia="Calibri"/>
          <w:bCs/>
          <w:sz w:val="28"/>
          <w:szCs w:val="28"/>
          <w:lang w:val="nl-NL"/>
        </w:rPr>
        <w:t xml:space="preserve">năm 2025 từ nguồn tăng thu </w:t>
      </w:r>
      <w:r w:rsidRPr="004400FC">
        <w:rPr>
          <w:rFonts w:eastAsia="Calibri"/>
          <w:bCs/>
          <w:spacing w:val="-10"/>
          <w:sz w:val="28"/>
          <w:szCs w:val="28"/>
          <w:lang w:val="nl-NL"/>
        </w:rPr>
        <w:t xml:space="preserve">ngân sách trung ương </w:t>
      </w:r>
      <w:r w:rsidRPr="004400FC">
        <w:rPr>
          <w:rFonts w:eastAsia="Calibri"/>
          <w:bCs/>
          <w:sz w:val="28"/>
          <w:szCs w:val="28"/>
          <w:lang w:val="nl-NL"/>
        </w:rPr>
        <w:t xml:space="preserve">năm 2022 cho các </w:t>
      </w:r>
      <w:r w:rsidR="00963E88">
        <w:rPr>
          <w:rFonts w:eastAsia="Calibri"/>
          <w:bCs/>
          <w:sz w:val="28"/>
          <w:szCs w:val="28"/>
          <w:lang w:val="nl-NL"/>
        </w:rPr>
        <w:t>B</w:t>
      </w:r>
      <w:r w:rsidRPr="004400FC">
        <w:rPr>
          <w:rFonts w:eastAsia="Calibri"/>
          <w:bCs/>
          <w:sz w:val="28"/>
          <w:szCs w:val="28"/>
          <w:lang w:val="nl-NL"/>
        </w:rPr>
        <w:t xml:space="preserve">ộ, </w:t>
      </w:r>
      <w:r w:rsidRPr="004400FC">
        <w:rPr>
          <w:rFonts w:eastAsia="Calibri"/>
          <w:bCs/>
          <w:sz w:val="28"/>
          <w:szCs w:val="28"/>
          <w:lang w:val="nl-NL"/>
        </w:rPr>
        <w:lastRenderedPageBreak/>
        <w:t>cơ quan trung ương, địa phương để thực hiện các nhiệm vụ, dự án</w:t>
      </w:r>
      <w:r w:rsidRPr="004400FC">
        <w:rPr>
          <w:rFonts w:eastAsia="SimSun"/>
          <w:sz w:val="28"/>
          <w:szCs w:val="28"/>
          <w:lang w:val="nl-NL"/>
        </w:rPr>
        <w:t xml:space="preserve"> </w:t>
      </w:r>
      <w:r w:rsidRPr="004400FC">
        <w:rPr>
          <w:rFonts w:eastAsia="Calibri"/>
          <w:bCs/>
          <w:sz w:val="28"/>
          <w:szCs w:val="28"/>
          <w:lang w:val="nl-NL"/>
        </w:rPr>
        <w:t xml:space="preserve">đã được giao </w:t>
      </w:r>
      <w:r w:rsidR="00963E88">
        <w:rPr>
          <w:rFonts w:eastAsia="Calibri"/>
          <w:bCs/>
          <w:sz w:val="28"/>
          <w:szCs w:val="28"/>
          <w:lang w:val="nl-NL"/>
        </w:rPr>
        <w:t>K</w:t>
      </w:r>
      <w:r w:rsidRPr="004400FC">
        <w:rPr>
          <w:rFonts w:eastAsia="Calibri"/>
          <w:bCs/>
          <w:sz w:val="28"/>
          <w:szCs w:val="28"/>
          <w:lang w:val="nl-NL"/>
        </w:rPr>
        <w:t>ế hoạch đầu tư công trung hạn giai đoạn 2021-2025 từ nguồn dự phòng chung</w:t>
      </w:r>
      <w:r w:rsidRPr="004400FC">
        <w:rPr>
          <w:rFonts w:eastAsia="SimSun"/>
          <w:sz w:val="28"/>
          <w:szCs w:val="28"/>
          <w:lang w:val="nl-NL"/>
        </w:rPr>
        <w:t xml:space="preserve"> </w:t>
      </w:r>
      <w:r w:rsidR="00FA4CA0">
        <w:rPr>
          <w:rFonts w:eastAsia="SimSun"/>
          <w:sz w:val="28"/>
          <w:szCs w:val="28"/>
          <w:lang w:val="nl-NL"/>
        </w:rPr>
        <w:t xml:space="preserve">theo </w:t>
      </w:r>
      <w:r w:rsidR="00963E88">
        <w:rPr>
          <w:rFonts w:eastAsia="SimSun"/>
          <w:sz w:val="28"/>
          <w:szCs w:val="28"/>
          <w:lang w:val="nl-NL"/>
        </w:rPr>
        <w:t>B</w:t>
      </w:r>
      <w:r w:rsidRPr="004400FC">
        <w:rPr>
          <w:sz w:val="28"/>
          <w:szCs w:val="28"/>
          <w:lang w:val="nl-NL"/>
        </w:rPr>
        <w:t>áo cáo số 652/BC-CP ngày 17 tháng 10 năm 2024</w:t>
      </w:r>
      <w:r w:rsidR="00FA4CA0">
        <w:rPr>
          <w:sz w:val="28"/>
          <w:szCs w:val="28"/>
          <w:lang w:val="nl-NL"/>
        </w:rPr>
        <w:t xml:space="preserve"> của Chính phủ</w:t>
      </w:r>
      <w:r w:rsidRPr="004400FC">
        <w:rPr>
          <w:sz w:val="28"/>
          <w:szCs w:val="28"/>
          <w:lang w:val="nl-NL"/>
        </w:rPr>
        <w:t xml:space="preserve">. </w:t>
      </w:r>
      <w:r w:rsidRPr="004400FC" w:rsidDel="008C2B7E">
        <w:rPr>
          <w:rFonts w:eastAsia="Calibri"/>
          <w:bCs/>
          <w:sz w:val="28"/>
          <w:szCs w:val="28"/>
          <w:lang w:val="nl-NL"/>
        </w:rPr>
        <w:t xml:space="preserve"> </w:t>
      </w:r>
    </w:p>
    <w:p w14:paraId="702187A1" w14:textId="77777777" w:rsidR="004400FC" w:rsidRPr="004400FC" w:rsidRDefault="004400FC" w:rsidP="004C2667">
      <w:pPr>
        <w:widowControl w:val="0"/>
        <w:spacing w:before="120" w:line="340" w:lineRule="exact"/>
        <w:ind w:firstLine="567"/>
        <w:jc w:val="both"/>
        <w:rPr>
          <w:rFonts w:eastAsia="Calibri"/>
          <w:bCs/>
          <w:sz w:val="28"/>
          <w:szCs w:val="28"/>
          <w:lang w:val="nl-NL"/>
        </w:rPr>
      </w:pPr>
      <w:r w:rsidRPr="004400FC">
        <w:rPr>
          <w:rFonts w:eastAsia="Calibri"/>
          <w:bCs/>
          <w:sz w:val="28"/>
          <w:szCs w:val="28"/>
          <w:lang w:val="nl-NL"/>
        </w:rPr>
        <w:t xml:space="preserve">+ </w:t>
      </w:r>
      <w:r w:rsidR="000870A9">
        <w:rPr>
          <w:rFonts w:eastAsia="Calibri"/>
          <w:bCs/>
          <w:sz w:val="28"/>
          <w:szCs w:val="28"/>
          <w:lang w:val="nl-NL"/>
        </w:rPr>
        <w:t>S</w:t>
      </w:r>
      <w:r w:rsidRPr="004400FC">
        <w:rPr>
          <w:rFonts w:eastAsia="Calibri"/>
          <w:bCs/>
          <w:sz w:val="28"/>
          <w:szCs w:val="28"/>
          <w:lang w:val="nl-NL"/>
        </w:rPr>
        <w:t xml:space="preserve">ố vốn còn lại chưa phân bổ là </w:t>
      </w:r>
      <w:r w:rsidRPr="00B17C69">
        <w:rPr>
          <w:rFonts w:eastAsia="Calibri"/>
          <w:sz w:val="28"/>
          <w:szCs w:val="28"/>
          <w:lang w:val="nl-NL"/>
        </w:rPr>
        <w:t>8.535,025</w:t>
      </w:r>
      <w:r w:rsidRPr="004400FC">
        <w:rPr>
          <w:rFonts w:eastAsia="Calibri"/>
          <w:b/>
          <w:sz w:val="28"/>
          <w:szCs w:val="28"/>
          <w:lang w:val="nl-NL"/>
        </w:rPr>
        <w:t xml:space="preserve"> </w:t>
      </w:r>
      <w:r w:rsidRPr="004400FC">
        <w:rPr>
          <w:rFonts w:eastAsia="Calibri"/>
          <w:bCs/>
          <w:sz w:val="28"/>
          <w:szCs w:val="28"/>
          <w:lang w:val="nl-NL"/>
        </w:rPr>
        <w:t>tỷ đồng, giao Chính phủ báo cáo Ủy ban Thường vụ Quốc hội xem xét, quyết định phân bổ khi đủ thủ tục đầu tư theo quy định của pháp luật.</w:t>
      </w:r>
    </w:p>
    <w:p w14:paraId="515D1908" w14:textId="3A2DAF6E" w:rsidR="004400FC" w:rsidRPr="004400FC" w:rsidRDefault="0056719D" w:rsidP="004C2667">
      <w:pPr>
        <w:widowControl w:val="0"/>
        <w:spacing w:before="120" w:line="340" w:lineRule="exact"/>
        <w:ind w:firstLine="567"/>
        <w:jc w:val="both"/>
        <w:rPr>
          <w:rFonts w:eastAsia="Calibri"/>
          <w:bCs/>
          <w:sz w:val="28"/>
          <w:szCs w:val="28"/>
          <w:lang w:val="nl-NL"/>
        </w:rPr>
      </w:pPr>
      <w:r w:rsidRPr="005345F2">
        <w:rPr>
          <w:rFonts w:eastAsia="Calibri"/>
          <w:bCs/>
          <w:sz w:val="28"/>
          <w:szCs w:val="28"/>
          <w:lang w:val="nl-NL"/>
        </w:rPr>
        <w:t>b)</w:t>
      </w:r>
      <w:r w:rsidR="004400FC" w:rsidRPr="004400FC">
        <w:rPr>
          <w:rFonts w:eastAsia="Calibri"/>
          <w:bCs/>
          <w:sz w:val="28"/>
          <w:szCs w:val="28"/>
          <w:lang w:val="nl-NL"/>
        </w:rPr>
        <w:t xml:space="preserve"> Cho phép kéo dài </w:t>
      </w:r>
      <w:r w:rsidR="00FB1689" w:rsidRPr="004400FC">
        <w:rPr>
          <w:rFonts w:eastAsia="Calibri"/>
          <w:bCs/>
          <w:sz w:val="28"/>
          <w:szCs w:val="28"/>
          <w:lang w:val="nl-NL"/>
        </w:rPr>
        <w:t>sang năm 2025</w:t>
      </w:r>
      <w:r w:rsidR="00FB1689">
        <w:rPr>
          <w:rFonts w:eastAsia="Calibri"/>
          <w:bCs/>
          <w:sz w:val="28"/>
          <w:szCs w:val="28"/>
          <w:lang w:val="nl-NL"/>
        </w:rPr>
        <w:t xml:space="preserve"> việc </w:t>
      </w:r>
      <w:r w:rsidR="004400FC" w:rsidRPr="004400FC">
        <w:rPr>
          <w:rFonts w:eastAsia="Calibri"/>
          <w:bCs/>
          <w:sz w:val="28"/>
          <w:szCs w:val="28"/>
          <w:lang w:val="nl-NL"/>
        </w:rPr>
        <w:t xml:space="preserve">thực hiện và giải ngân tối đa </w:t>
      </w:r>
      <w:r w:rsidR="004400FC" w:rsidRPr="00B17C69">
        <w:rPr>
          <w:rFonts w:eastAsia="Calibri"/>
          <w:sz w:val="28"/>
          <w:szCs w:val="28"/>
          <w:lang w:val="nl-NL"/>
        </w:rPr>
        <w:t>579,306</w:t>
      </w:r>
      <w:r w:rsidR="004400FC" w:rsidRPr="004400FC">
        <w:rPr>
          <w:rFonts w:eastAsia="Calibri"/>
          <w:bCs/>
          <w:sz w:val="28"/>
          <w:szCs w:val="28"/>
          <w:lang w:val="nl-NL"/>
        </w:rPr>
        <w:t xml:space="preserve"> tỷ đồng kế hoạch vốn từ nguồn tăng thu </w:t>
      </w:r>
      <w:r w:rsidR="004400FC" w:rsidRPr="004400FC">
        <w:rPr>
          <w:rFonts w:eastAsia="Calibri"/>
          <w:bCs/>
          <w:spacing w:val="-10"/>
          <w:sz w:val="28"/>
          <w:szCs w:val="28"/>
          <w:lang w:val="nl-NL"/>
        </w:rPr>
        <w:t>ngân sách trung ương</w:t>
      </w:r>
      <w:r w:rsidR="00001D14">
        <w:rPr>
          <w:rFonts w:eastAsia="Calibri"/>
          <w:bCs/>
          <w:spacing w:val="-10"/>
          <w:sz w:val="28"/>
          <w:szCs w:val="28"/>
          <w:lang w:val="nl-NL"/>
        </w:rPr>
        <w:t xml:space="preserve"> </w:t>
      </w:r>
      <w:r w:rsidR="004400FC" w:rsidRPr="004400FC">
        <w:rPr>
          <w:rFonts w:eastAsia="Calibri"/>
          <w:bCs/>
          <w:sz w:val="28"/>
          <w:szCs w:val="28"/>
          <w:lang w:val="nl-NL"/>
        </w:rPr>
        <w:t xml:space="preserve">năm 2022 chưa giải ngân hết để giải quyết đền bù giải phóng mặt bằng (bao gồm cả phần chậm trả) của các dự án mở rộng Quốc lộ 1 đoạn qua tỉnh Nghệ An thuộc nhiệm vụ </w:t>
      </w:r>
      <w:r w:rsidR="004400FC" w:rsidRPr="004400FC">
        <w:rPr>
          <w:rFonts w:eastAsia="Calibri"/>
          <w:bCs/>
          <w:spacing w:val="-10"/>
          <w:sz w:val="28"/>
          <w:szCs w:val="28"/>
          <w:lang w:val="nl-NL"/>
        </w:rPr>
        <w:t>ngân sách trung ương</w:t>
      </w:r>
      <w:r w:rsidR="00001D14">
        <w:rPr>
          <w:rFonts w:eastAsia="Calibri"/>
          <w:bCs/>
          <w:spacing w:val="-10"/>
          <w:sz w:val="28"/>
          <w:szCs w:val="28"/>
          <w:lang w:val="nl-NL"/>
        </w:rPr>
        <w:t xml:space="preserve"> </w:t>
      </w:r>
      <w:r w:rsidR="004400FC" w:rsidRPr="004400FC">
        <w:rPr>
          <w:rFonts w:eastAsia="Calibri"/>
          <w:bCs/>
          <w:sz w:val="28"/>
          <w:szCs w:val="28"/>
          <w:lang w:val="nl-NL"/>
        </w:rPr>
        <w:t>phát sinh sau khi các dự án này đã quyết toán.</w:t>
      </w:r>
    </w:p>
    <w:p w14:paraId="7B963752" w14:textId="05AFE6A2" w:rsidR="004400FC" w:rsidRPr="00651E6F" w:rsidRDefault="004400FC" w:rsidP="004C2667">
      <w:pPr>
        <w:widowControl w:val="0"/>
        <w:spacing w:before="120" w:line="340" w:lineRule="exact"/>
        <w:ind w:firstLine="567"/>
        <w:jc w:val="both"/>
        <w:rPr>
          <w:rFonts w:eastAsia="Calibri"/>
          <w:bCs/>
          <w:sz w:val="28"/>
          <w:szCs w:val="28"/>
          <w:lang w:val="nl-NL"/>
        </w:rPr>
      </w:pPr>
      <w:r w:rsidRPr="00651E6F">
        <w:rPr>
          <w:rFonts w:eastAsia="Calibri"/>
          <w:sz w:val="28"/>
          <w:szCs w:val="28"/>
          <w:lang w:val="nl-NL"/>
        </w:rPr>
        <w:t>5.</w:t>
      </w:r>
      <w:r w:rsidRPr="00651E6F">
        <w:rPr>
          <w:rFonts w:eastAsia="Calibri"/>
          <w:bCs/>
          <w:sz w:val="28"/>
          <w:szCs w:val="28"/>
          <w:lang w:val="nl-NL"/>
        </w:rPr>
        <w:t xml:space="preserve"> Dự toán, kế hoạch </w:t>
      </w:r>
      <w:r w:rsidR="006D4C81" w:rsidRPr="00651E6F">
        <w:rPr>
          <w:rFonts w:eastAsia="Calibri"/>
          <w:bCs/>
          <w:sz w:val="28"/>
          <w:szCs w:val="28"/>
          <w:lang w:val="nl-NL"/>
        </w:rPr>
        <w:t xml:space="preserve">đầu tư công </w:t>
      </w:r>
      <w:r w:rsidRPr="00651E6F">
        <w:rPr>
          <w:rFonts w:eastAsia="Calibri"/>
          <w:bCs/>
          <w:sz w:val="28"/>
          <w:szCs w:val="28"/>
          <w:lang w:val="nl-NL"/>
        </w:rPr>
        <w:t>vốn ngân sách trung ương năm 2025 từ nguồn tăng thu ngân sách trung ương năm 2023</w:t>
      </w:r>
    </w:p>
    <w:p w14:paraId="4CD548D0" w14:textId="77777777" w:rsidR="004400FC" w:rsidRPr="00105FFE" w:rsidRDefault="004400FC" w:rsidP="004C2667">
      <w:pPr>
        <w:widowControl w:val="0"/>
        <w:spacing w:before="120" w:line="340" w:lineRule="exact"/>
        <w:ind w:firstLine="567"/>
        <w:jc w:val="both"/>
        <w:rPr>
          <w:rFonts w:eastAsia="Calibri"/>
          <w:bCs/>
          <w:spacing w:val="2"/>
          <w:sz w:val="28"/>
          <w:szCs w:val="28"/>
          <w:lang w:val="nl-NL"/>
        </w:rPr>
      </w:pPr>
      <w:r w:rsidRPr="00105FFE">
        <w:rPr>
          <w:rFonts w:eastAsia="Calibri"/>
          <w:bCs/>
          <w:spacing w:val="2"/>
          <w:sz w:val="28"/>
          <w:szCs w:val="28"/>
          <w:lang w:val="nl-NL"/>
        </w:rPr>
        <w:t xml:space="preserve">Cho phép chuyển nguồn </w:t>
      </w:r>
      <w:r w:rsidRPr="00105FFE">
        <w:rPr>
          <w:rFonts w:eastAsia="Calibri"/>
          <w:bCs/>
          <w:spacing w:val="2"/>
          <w:sz w:val="28"/>
          <w:szCs w:val="28"/>
          <w:lang w:val="es-ES"/>
        </w:rPr>
        <w:t>18.220 tỷ đồng</w:t>
      </w:r>
      <w:r w:rsidRPr="00105FFE">
        <w:rPr>
          <w:rFonts w:eastAsia="Calibri"/>
          <w:bCs/>
          <w:spacing w:val="2"/>
          <w:sz w:val="28"/>
          <w:szCs w:val="28"/>
          <w:lang w:val="nl-NL"/>
        </w:rPr>
        <w:t xml:space="preserve"> nguồn tăng thu ngân sách trung ương</w:t>
      </w:r>
      <w:r w:rsidR="00001D14" w:rsidRPr="00105FFE">
        <w:rPr>
          <w:rFonts w:eastAsia="Calibri"/>
          <w:bCs/>
          <w:spacing w:val="2"/>
          <w:sz w:val="28"/>
          <w:szCs w:val="28"/>
          <w:lang w:val="nl-NL"/>
        </w:rPr>
        <w:t xml:space="preserve"> </w:t>
      </w:r>
      <w:r w:rsidRPr="00105FFE">
        <w:rPr>
          <w:rFonts w:eastAsia="Calibri"/>
          <w:bCs/>
          <w:spacing w:val="2"/>
          <w:sz w:val="28"/>
          <w:szCs w:val="28"/>
          <w:lang w:val="nl-NL"/>
        </w:rPr>
        <w:t>năm 2023</w:t>
      </w:r>
      <w:r w:rsidR="000870A9" w:rsidRPr="00105FFE">
        <w:rPr>
          <w:rFonts w:eastAsia="Calibri"/>
          <w:bCs/>
          <w:spacing w:val="2"/>
          <w:sz w:val="28"/>
          <w:szCs w:val="28"/>
          <w:lang w:val="nl-NL"/>
        </w:rPr>
        <w:t xml:space="preserve"> còn lại chưa phân bổ</w:t>
      </w:r>
      <w:r w:rsidRPr="00105FFE">
        <w:rPr>
          <w:rFonts w:eastAsia="Calibri"/>
          <w:bCs/>
          <w:spacing w:val="2"/>
          <w:sz w:val="28"/>
          <w:szCs w:val="28"/>
          <w:lang w:val="nl-NL"/>
        </w:rPr>
        <w:t xml:space="preserve"> để bố trí dự toán, kế hoạch đầu tư công vốn ngân sách trung ương</w:t>
      </w:r>
      <w:r w:rsidR="00001D14" w:rsidRPr="00105FFE">
        <w:rPr>
          <w:rFonts w:eastAsia="Calibri"/>
          <w:bCs/>
          <w:spacing w:val="2"/>
          <w:sz w:val="28"/>
          <w:szCs w:val="28"/>
          <w:lang w:val="nl-NL"/>
        </w:rPr>
        <w:t xml:space="preserve"> </w:t>
      </w:r>
      <w:r w:rsidRPr="00105FFE">
        <w:rPr>
          <w:rFonts w:eastAsia="Calibri"/>
          <w:bCs/>
          <w:spacing w:val="2"/>
          <w:sz w:val="28"/>
          <w:szCs w:val="28"/>
          <w:lang w:val="nl-NL"/>
        </w:rPr>
        <w:t xml:space="preserve">năm 2025 cho các nhiệm vụ, dự án được Quốc hội cho phép sử dụng dự phòng chung của </w:t>
      </w:r>
      <w:r w:rsidR="00001D14" w:rsidRPr="00105FFE">
        <w:rPr>
          <w:rFonts w:eastAsia="Calibri"/>
          <w:bCs/>
          <w:spacing w:val="2"/>
          <w:sz w:val="28"/>
          <w:szCs w:val="28"/>
          <w:lang w:val="nl-NL"/>
        </w:rPr>
        <w:t>K</w:t>
      </w:r>
      <w:r w:rsidRPr="00105FFE">
        <w:rPr>
          <w:rFonts w:eastAsia="Calibri"/>
          <w:bCs/>
          <w:spacing w:val="2"/>
          <w:sz w:val="28"/>
          <w:szCs w:val="28"/>
          <w:lang w:val="nl-NL"/>
        </w:rPr>
        <w:t>ế hoạch đầu tư công trung hạn giai đoạn 2021-2025 tại Nghị quyết số 142/2024/QH15 ngày 29</w:t>
      </w:r>
      <w:r w:rsidR="00781CD2" w:rsidRPr="00105FFE">
        <w:rPr>
          <w:rFonts w:eastAsia="Calibri"/>
          <w:bCs/>
          <w:spacing w:val="2"/>
          <w:sz w:val="28"/>
          <w:szCs w:val="28"/>
          <w:lang w:val="nl-NL"/>
        </w:rPr>
        <w:t xml:space="preserve"> tháng </w:t>
      </w:r>
      <w:r w:rsidRPr="00105FFE">
        <w:rPr>
          <w:rFonts w:eastAsia="Calibri"/>
          <w:bCs/>
          <w:spacing w:val="2"/>
          <w:sz w:val="28"/>
          <w:szCs w:val="28"/>
          <w:lang w:val="nl-NL"/>
        </w:rPr>
        <w:t>6</w:t>
      </w:r>
      <w:r w:rsidR="00781CD2" w:rsidRPr="00105FFE">
        <w:rPr>
          <w:rFonts w:eastAsia="Calibri"/>
          <w:bCs/>
          <w:spacing w:val="2"/>
          <w:sz w:val="28"/>
          <w:szCs w:val="28"/>
          <w:lang w:val="nl-NL"/>
        </w:rPr>
        <w:t xml:space="preserve"> năm </w:t>
      </w:r>
      <w:r w:rsidRPr="00105FFE">
        <w:rPr>
          <w:rFonts w:eastAsia="Calibri"/>
          <w:bCs/>
          <w:spacing w:val="2"/>
          <w:sz w:val="28"/>
          <w:szCs w:val="28"/>
          <w:lang w:val="nl-NL"/>
        </w:rPr>
        <w:t xml:space="preserve">2024 của Quốc hội, trong đó: </w:t>
      </w:r>
    </w:p>
    <w:p w14:paraId="2D572F80" w14:textId="5FCAB000" w:rsidR="004400FC" w:rsidRPr="005D039F" w:rsidRDefault="0056719D" w:rsidP="004C2667">
      <w:pPr>
        <w:widowControl w:val="0"/>
        <w:spacing w:before="120" w:line="340" w:lineRule="exact"/>
        <w:ind w:firstLine="567"/>
        <w:jc w:val="both"/>
        <w:rPr>
          <w:rFonts w:eastAsia="Calibri"/>
          <w:bCs/>
          <w:sz w:val="28"/>
          <w:szCs w:val="28"/>
          <w:lang w:val="nl-NL"/>
        </w:rPr>
      </w:pPr>
      <w:r w:rsidRPr="005D039F">
        <w:rPr>
          <w:rFonts w:eastAsia="Calibri"/>
          <w:bCs/>
          <w:sz w:val="28"/>
          <w:szCs w:val="28"/>
          <w:lang w:val="nl-NL"/>
        </w:rPr>
        <w:t>a)</w:t>
      </w:r>
      <w:r w:rsidR="004400FC" w:rsidRPr="005D039F">
        <w:rPr>
          <w:rFonts w:eastAsia="Calibri"/>
          <w:bCs/>
          <w:sz w:val="28"/>
          <w:szCs w:val="28"/>
          <w:lang w:val="nl-NL"/>
        </w:rPr>
        <w:t xml:space="preserve"> Phân bổ </w:t>
      </w:r>
      <w:r w:rsidR="004400FC" w:rsidRPr="005D039F">
        <w:rPr>
          <w:rFonts w:eastAsia="Calibri"/>
          <w:sz w:val="28"/>
          <w:szCs w:val="28"/>
          <w:lang w:val="nl-NL"/>
        </w:rPr>
        <w:t>4.900</w:t>
      </w:r>
      <w:r w:rsidR="004400FC" w:rsidRPr="005D039F">
        <w:rPr>
          <w:rFonts w:eastAsia="Calibri"/>
          <w:bCs/>
          <w:sz w:val="28"/>
          <w:szCs w:val="28"/>
          <w:lang w:val="nl-NL"/>
        </w:rPr>
        <w:t xml:space="preserve"> tỷ đồng dự phòng chung nguồn ngân sách trung ương của </w:t>
      </w:r>
      <w:r w:rsidR="00963E88" w:rsidRPr="005D039F">
        <w:rPr>
          <w:rFonts w:eastAsia="Calibri"/>
          <w:bCs/>
          <w:sz w:val="28"/>
          <w:szCs w:val="28"/>
          <w:lang w:val="nl-NL"/>
        </w:rPr>
        <w:t>K</w:t>
      </w:r>
      <w:r w:rsidR="004400FC" w:rsidRPr="005D039F">
        <w:rPr>
          <w:rFonts w:eastAsia="Calibri"/>
          <w:bCs/>
          <w:sz w:val="28"/>
          <w:szCs w:val="28"/>
          <w:lang w:val="nl-NL"/>
        </w:rPr>
        <w:t>ế hoạch đầu tư công trung hạn giai đoạn 2021</w:t>
      </w:r>
      <w:r w:rsidR="00001D14" w:rsidRPr="005D039F">
        <w:rPr>
          <w:rFonts w:eastAsia="Calibri"/>
          <w:bCs/>
          <w:sz w:val="28"/>
          <w:szCs w:val="28"/>
          <w:lang w:val="nl-NL"/>
        </w:rPr>
        <w:t>-</w:t>
      </w:r>
      <w:r w:rsidR="004400FC" w:rsidRPr="005D039F">
        <w:rPr>
          <w:rFonts w:eastAsia="Calibri"/>
          <w:bCs/>
          <w:sz w:val="28"/>
          <w:szCs w:val="28"/>
          <w:lang w:val="nl-NL"/>
        </w:rPr>
        <w:t xml:space="preserve">2025 và dự toán, kế hoạch </w:t>
      </w:r>
      <w:r w:rsidR="00F86549" w:rsidRPr="005D039F">
        <w:rPr>
          <w:rFonts w:eastAsia="Calibri"/>
          <w:bCs/>
          <w:sz w:val="28"/>
          <w:szCs w:val="28"/>
          <w:lang w:val="nl-NL"/>
        </w:rPr>
        <w:t xml:space="preserve">đầu tư công </w:t>
      </w:r>
      <w:r w:rsidR="004400FC" w:rsidRPr="005D039F">
        <w:rPr>
          <w:rFonts w:eastAsia="Calibri"/>
          <w:bCs/>
          <w:sz w:val="28"/>
          <w:szCs w:val="28"/>
          <w:lang w:val="nl-NL"/>
        </w:rPr>
        <w:t xml:space="preserve">vốn </w:t>
      </w:r>
      <w:r w:rsidR="00001D14" w:rsidRPr="005D039F">
        <w:rPr>
          <w:rFonts w:eastAsia="Calibri"/>
          <w:bCs/>
          <w:sz w:val="28"/>
          <w:szCs w:val="28"/>
          <w:lang w:val="nl-NL"/>
        </w:rPr>
        <w:t>ngân sách trung ương</w:t>
      </w:r>
      <w:r w:rsidR="004400FC" w:rsidRPr="005D039F">
        <w:rPr>
          <w:rFonts w:eastAsia="Calibri"/>
          <w:bCs/>
          <w:sz w:val="28"/>
          <w:szCs w:val="28"/>
          <w:lang w:val="nl-NL"/>
        </w:rPr>
        <w:t xml:space="preserve"> năm 2025 từ nguồn tăng thu </w:t>
      </w:r>
      <w:r w:rsidR="00001D14" w:rsidRPr="005D039F">
        <w:rPr>
          <w:rFonts w:eastAsia="Calibri"/>
          <w:bCs/>
          <w:sz w:val="28"/>
          <w:szCs w:val="28"/>
          <w:lang w:val="nl-NL"/>
        </w:rPr>
        <w:t>ngân sách trung ương</w:t>
      </w:r>
      <w:r w:rsidR="004400FC" w:rsidRPr="005D039F">
        <w:rPr>
          <w:rFonts w:eastAsia="Calibri"/>
          <w:bCs/>
          <w:sz w:val="28"/>
          <w:szCs w:val="28"/>
          <w:lang w:val="nl-NL"/>
        </w:rPr>
        <w:t xml:space="preserve"> năm 2023 cho các Bộ, cơ quan trung ương và địa phương để thực hiện nhiệm vụ, dự án đủ thủ tục đầu tư đã báo cáo Quốc hội tại Kỳ họp thứ 7, Quốc hội khóa XV và tại </w:t>
      </w:r>
      <w:r w:rsidR="004400FC" w:rsidRPr="005D039F">
        <w:rPr>
          <w:sz w:val="28"/>
          <w:szCs w:val="28"/>
          <w:lang w:val="nl-NL"/>
        </w:rPr>
        <w:t>Báo cáo số 652/BC-CP ngày 17 tháng 10 năm 2024 của Chính phủ.</w:t>
      </w:r>
    </w:p>
    <w:p w14:paraId="04C61679" w14:textId="77777777" w:rsidR="004400FC" w:rsidRPr="004400FC" w:rsidRDefault="0056719D" w:rsidP="004C2667">
      <w:pPr>
        <w:widowControl w:val="0"/>
        <w:spacing w:before="120" w:line="340" w:lineRule="exact"/>
        <w:ind w:firstLine="567"/>
        <w:jc w:val="both"/>
        <w:rPr>
          <w:rFonts w:eastAsia="Calibri"/>
          <w:bCs/>
          <w:sz w:val="28"/>
          <w:szCs w:val="28"/>
          <w:lang w:val="nl-NL"/>
        </w:rPr>
      </w:pPr>
      <w:r w:rsidRPr="005345F2">
        <w:rPr>
          <w:rFonts w:eastAsia="Calibri"/>
          <w:bCs/>
          <w:sz w:val="28"/>
          <w:szCs w:val="28"/>
          <w:lang w:val="nl-NL"/>
        </w:rPr>
        <w:t>b)</w:t>
      </w:r>
      <w:r w:rsidR="004400FC" w:rsidRPr="004400FC">
        <w:rPr>
          <w:rFonts w:eastAsia="Calibri"/>
          <w:bCs/>
          <w:sz w:val="28"/>
          <w:szCs w:val="28"/>
          <w:lang w:val="nl-NL"/>
        </w:rPr>
        <w:t xml:space="preserve"> Số vốn còn lại chưa phân bổ </w:t>
      </w:r>
      <w:r w:rsidR="004400FC" w:rsidRPr="00B17C69">
        <w:rPr>
          <w:rFonts w:eastAsia="Calibri"/>
          <w:bCs/>
          <w:sz w:val="28"/>
          <w:szCs w:val="28"/>
          <w:lang w:val="nl-NL"/>
        </w:rPr>
        <w:t xml:space="preserve">là </w:t>
      </w:r>
      <w:r w:rsidR="004400FC" w:rsidRPr="00B17C69">
        <w:rPr>
          <w:rFonts w:eastAsia="Calibri"/>
          <w:sz w:val="28"/>
          <w:szCs w:val="28"/>
          <w:lang w:val="nl-NL"/>
        </w:rPr>
        <w:t>13.320</w:t>
      </w:r>
      <w:r w:rsidR="004400FC" w:rsidRPr="004400FC">
        <w:rPr>
          <w:rFonts w:eastAsia="Calibri"/>
          <w:bCs/>
          <w:sz w:val="28"/>
          <w:szCs w:val="28"/>
          <w:lang w:val="nl-NL"/>
        </w:rPr>
        <w:t xml:space="preserve"> tỷ đồng, giao Chính phủ báo cáo Ủy ban Thường vụ Quốc hội xem xét, quyết định phân bổ khi đủ thủ tục đầu tư theo quy định của pháp luật.</w:t>
      </w:r>
    </w:p>
    <w:p w14:paraId="3E58D2AF" w14:textId="7DCED9B8" w:rsidR="004400FC" w:rsidRPr="004400FC" w:rsidRDefault="004400FC" w:rsidP="004C2667">
      <w:pPr>
        <w:widowControl w:val="0"/>
        <w:spacing w:before="120" w:line="340" w:lineRule="exact"/>
        <w:ind w:firstLine="567"/>
        <w:jc w:val="both"/>
        <w:rPr>
          <w:rFonts w:eastAsia="Calibri"/>
          <w:bCs/>
          <w:sz w:val="28"/>
          <w:szCs w:val="28"/>
          <w:lang w:val="nl-NL"/>
        </w:rPr>
      </w:pPr>
      <w:r w:rsidRPr="005345F2">
        <w:rPr>
          <w:rFonts w:eastAsia="Calibri"/>
          <w:sz w:val="28"/>
          <w:szCs w:val="28"/>
          <w:lang w:val="nl-NL"/>
        </w:rPr>
        <w:t>6.</w:t>
      </w:r>
      <w:r w:rsidRPr="004400FC">
        <w:rPr>
          <w:rFonts w:eastAsia="Calibri"/>
          <w:bCs/>
          <w:sz w:val="28"/>
          <w:szCs w:val="28"/>
          <w:lang w:val="nl-NL"/>
        </w:rPr>
        <w:t xml:space="preserve"> Phân bổ, kéo dài thời gian thực hiện và giải ngân các dự án thuộc Chương trình phục hồi và phát triển kinh tế </w:t>
      </w:r>
      <w:r w:rsidR="00963E88">
        <w:rPr>
          <w:rFonts w:eastAsia="Calibri"/>
          <w:bCs/>
          <w:sz w:val="28"/>
          <w:szCs w:val="28"/>
          <w:lang w:val="nl-NL"/>
        </w:rPr>
        <w:t xml:space="preserve">- </w:t>
      </w:r>
      <w:r w:rsidRPr="004400FC">
        <w:rPr>
          <w:rFonts w:eastAsia="Calibri"/>
          <w:bCs/>
          <w:sz w:val="28"/>
          <w:szCs w:val="28"/>
          <w:lang w:val="nl-NL"/>
        </w:rPr>
        <w:t>xã hội</w:t>
      </w:r>
    </w:p>
    <w:p w14:paraId="70975C49" w14:textId="5F3EC9F5" w:rsidR="004400FC" w:rsidRPr="004400FC" w:rsidRDefault="0056719D" w:rsidP="004C2667">
      <w:pPr>
        <w:widowControl w:val="0"/>
        <w:spacing w:before="120" w:line="340" w:lineRule="exact"/>
        <w:ind w:firstLine="567"/>
        <w:jc w:val="both"/>
        <w:rPr>
          <w:rFonts w:eastAsia="Calibri"/>
          <w:bCs/>
          <w:spacing w:val="-2"/>
          <w:sz w:val="28"/>
          <w:szCs w:val="28"/>
          <w:lang w:val="nl-NL"/>
        </w:rPr>
      </w:pPr>
      <w:r w:rsidRPr="005345F2">
        <w:rPr>
          <w:rFonts w:eastAsia="Calibri"/>
          <w:bCs/>
          <w:spacing w:val="-2"/>
          <w:sz w:val="28"/>
          <w:szCs w:val="28"/>
          <w:lang w:val="nl-NL"/>
        </w:rPr>
        <w:t>a)</w:t>
      </w:r>
      <w:r w:rsidR="004400FC" w:rsidRPr="004400FC">
        <w:rPr>
          <w:rFonts w:eastAsia="Calibri"/>
          <w:bCs/>
          <w:spacing w:val="-2"/>
          <w:sz w:val="28"/>
          <w:szCs w:val="28"/>
          <w:lang w:val="nl-NL"/>
        </w:rPr>
        <w:t xml:space="preserve"> Phân bổ dự toán, kế hoạch </w:t>
      </w:r>
      <w:r w:rsidR="004315A0">
        <w:rPr>
          <w:rFonts w:eastAsia="Calibri"/>
          <w:bCs/>
          <w:spacing w:val="-2"/>
          <w:sz w:val="28"/>
          <w:szCs w:val="28"/>
          <w:lang w:val="nl-NL"/>
        </w:rPr>
        <w:t xml:space="preserve">đầu tư công </w:t>
      </w:r>
      <w:r w:rsidR="004400FC" w:rsidRPr="004400FC">
        <w:rPr>
          <w:rFonts w:eastAsia="Calibri"/>
          <w:bCs/>
          <w:spacing w:val="-2"/>
          <w:sz w:val="28"/>
          <w:szCs w:val="28"/>
          <w:lang w:val="nl-NL"/>
        </w:rPr>
        <w:t xml:space="preserve">vốn </w:t>
      </w:r>
      <w:r w:rsidR="004400FC" w:rsidRPr="004400FC">
        <w:rPr>
          <w:rFonts w:eastAsia="Calibri"/>
          <w:bCs/>
          <w:spacing w:val="-10"/>
          <w:sz w:val="28"/>
          <w:szCs w:val="28"/>
          <w:lang w:val="nl-NL"/>
        </w:rPr>
        <w:t xml:space="preserve">ngân sách trung ương </w:t>
      </w:r>
      <w:r w:rsidR="004400FC" w:rsidRPr="004400FC">
        <w:rPr>
          <w:rFonts w:eastAsia="Calibri"/>
          <w:bCs/>
          <w:spacing w:val="-2"/>
          <w:sz w:val="28"/>
          <w:szCs w:val="28"/>
          <w:lang w:val="nl-NL"/>
        </w:rPr>
        <w:t xml:space="preserve">năm 2024 là </w:t>
      </w:r>
      <w:r w:rsidR="004400FC" w:rsidRPr="00B17C69">
        <w:rPr>
          <w:rFonts w:eastAsia="Calibri"/>
          <w:spacing w:val="-2"/>
          <w:sz w:val="28"/>
          <w:szCs w:val="28"/>
          <w:lang w:val="nl-NL"/>
        </w:rPr>
        <w:t>2.920,7</w:t>
      </w:r>
      <w:r w:rsidR="004400FC" w:rsidRPr="004400FC">
        <w:rPr>
          <w:rFonts w:eastAsia="Calibri"/>
          <w:bCs/>
          <w:spacing w:val="-2"/>
          <w:sz w:val="28"/>
          <w:szCs w:val="28"/>
          <w:lang w:val="nl-NL"/>
        </w:rPr>
        <w:t xml:space="preserve"> tỷ đồng từ nguồn tăng thu, cắt giảm, tiết kiệm chi </w:t>
      </w:r>
      <w:r w:rsidR="004400FC" w:rsidRPr="004400FC">
        <w:rPr>
          <w:rFonts w:eastAsia="Calibri"/>
          <w:bCs/>
          <w:spacing w:val="-10"/>
          <w:sz w:val="28"/>
          <w:szCs w:val="28"/>
          <w:lang w:val="nl-NL"/>
        </w:rPr>
        <w:t xml:space="preserve">ngân sách trung ương </w:t>
      </w:r>
      <w:r w:rsidR="004400FC" w:rsidRPr="004400FC">
        <w:rPr>
          <w:rFonts w:eastAsia="Calibri"/>
          <w:bCs/>
          <w:spacing w:val="-2"/>
          <w:sz w:val="28"/>
          <w:szCs w:val="28"/>
          <w:lang w:val="nl-NL"/>
        </w:rPr>
        <w:t xml:space="preserve">năm 2021 còn dư sau khi thực hiện chính sách hỗ trợ tiền thuê nhà cho người lao động của Chương trình phục hồi </w:t>
      </w:r>
      <w:r w:rsidR="00963E88" w:rsidRPr="004400FC">
        <w:rPr>
          <w:rFonts w:eastAsia="Calibri"/>
          <w:bCs/>
          <w:sz w:val="28"/>
          <w:szCs w:val="28"/>
          <w:lang w:val="nl-NL"/>
        </w:rPr>
        <w:t xml:space="preserve">và phát triển kinh tế </w:t>
      </w:r>
      <w:r w:rsidR="00963E88">
        <w:rPr>
          <w:rFonts w:eastAsia="Calibri"/>
          <w:bCs/>
          <w:sz w:val="28"/>
          <w:szCs w:val="28"/>
          <w:lang w:val="nl-NL"/>
        </w:rPr>
        <w:t xml:space="preserve">- </w:t>
      </w:r>
      <w:r w:rsidR="00963E88" w:rsidRPr="004400FC">
        <w:rPr>
          <w:rFonts w:eastAsia="Calibri"/>
          <w:bCs/>
          <w:sz w:val="28"/>
          <w:szCs w:val="28"/>
          <w:lang w:val="nl-NL"/>
        </w:rPr>
        <w:t>xã hội</w:t>
      </w:r>
      <w:r w:rsidR="00963E88" w:rsidRPr="004400FC">
        <w:rPr>
          <w:rFonts w:eastAsia="Calibri"/>
          <w:bCs/>
          <w:spacing w:val="-2"/>
          <w:sz w:val="28"/>
          <w:szCs w:val="28"/>
          <w:lang w:val="nl-NL"/>
        </w:rPr>
        <w:t xml:space="preserve"> </w:t>
      </w:r>
      <w:r w:rsidR="004400FC" w:rsidRPr="004400FC">
        <w:rPr>
          <w:rFonts w:eastAsia="Calibri"/>
          <w:bCs/>
          <w:spacing w:val="-2"/>
          <w:sz w:val="28"/>
          <w:szCs w:val="28"/>
          <w:lang w:val="nl-NL"/>
        </w:rPr>
        <w:t xml:space="preserve">cho các </w:t>
      </w:r>
      <w:r w:rsidR="00963E88">
        <w:rPr>
          <w:rFonts w:eastAsia="Calibri"/>
          <w:bCs/>
          <w:spacing w:val="-2"/>
          <w:sz w:val="28"/>
          <w:szCs w:val="28"/>
          <w:lang w:val="nl-NL"/>
        </w:rPr>
        <w:t>B</w:t>
      </w:r>
      <w:r w:rsidR="004400FC" w:rsidRPr="004400FC">
        <w:rPr>
          <w:rFonts w:eastAsia="Calibri"/>
          <w:bCs/>
          <w:spacing w:val="-2"/>
          <w:sz w:val="28"/>
          <w:szCs w:val="28"/>
          <w:lang w:val="nl-NL"/>
        </w:rPr>
        <w:t>ộ, cơ quan trung ương để thực hiện các dự án đã đủ thủ tục đầu tư theo quy định của pháp luật thuộc Chương trình phục hồi và phát triển kinh tế - xã hội theo Nghị quyết số 43/2022/QH15 và Nghị quyết số 142/2024/QH15 của Quốc hội</w:t>
      </w:r>
      <w:r w:rsidR="00263EC4">
        <w:rPr>
          <w:rFonts w:eastAsia="SimSun"/>
          <w:sz w:val="28"/>
          <w:szCs w:val="28"/>
          <w:lang w:val="nl-NL"/>
        </w:rPr>
        <w:t xml:space="preserve"> </w:t>
      </w:r>
      <w:r w:rsidR="004400FC" w:rsidRPr="004400FC">
        <w:rPr>
          <w:rFonts w:eastAsia="SimSun"/>
          <w:sz w:val="28"/>
          <w:szCs w:val="28"/>
          <w:lang w:val="nl-NL"/>
        </w:rPr>
        <w:t xml:space="preserve">tại </w:t>
      </w:r>
      <w:r w:rsidR="004E64AC">
        <w:rPr>
          <w:rFonts w:eastAsia="SimSun"/>
          <w:sz w:val="28"/>
          <w:szCs w:val="28"/>
          <w:lang w:val="nl-NL"/>
        </w:rPr>
        <w:t>B</w:t>
      </w:r>
      <w:r w:rsidR="004E64AC" w:rsidRPr="004400FC">
        <w:rPr>
          <w:sz w:val="28"/>
          <w:szCs w:val="28"/>
          <w:lang w:val="nl-NL"/>
        </w:rPr>
        <w:t xml:space="preserve">áo </w:t>
      </w:r>
      <w:r w:rsidR="004400FC" w:rsidRPr="004400FC">
        <w:rPr>
          <w:sz w:val="28"/>
          <w:szCs w:val="28"/>
          <w:lang w:val="nl-NL"/>
        </w:rPr>
        <w:t>cáo số 652/BC-CP ngày 17 tháng 10 năm 2024</w:t>
      </w:r>
      <w:r w:rsidR="004315A0">
        <w:rPr>
          <w:sz w:val="28"/>
          <w:szCs w:val="28"/>
          <w:lang w:val="nl-NL"/>
        </w:rPr>
        <w:t xml:space="preserve"> của Chính phủ</w:t>
      </w:r>
      <w:r w:rsidR="004400FC" w:rsidRPr="004400FC">
        <w:rPr>
          <w:sz w:val="28"/>
          <w:szCs w:val="28"/>
          <w:lang w:val="nl-NL"/>
        </w:rPr>
        <w:t xml:space="preserve">. </w:t>
      </w:r>
      <w:r w:rsidR="004400FC" w:rsidRPr="004400FC" w:rsidDel="008C2B7E">
        <w:rPr>
          <w:rFonts w:eastAsia="Calibri"/>
          <w:bCs/>
          <w:sz w:val="28"/>
          <w:szCs w:val="28"/>
          <w:lang w:val="nl-NL"/>
        </w:rPr>
        <w:t xml:space="preserve"> </w:t>
      </w:r>
    </w:p>
    <w:p w14:paraId="79BC5F1E" w14:textId="77777777" w:rsidR="004400FC" w:rsidRDefault="0056719D" w:rsidP="004C2667">
      <w:pPr>
        <w:widowControl w:val="0"/>
        <w:spacing w:before="120" w:line="340" w:lineRule="exact"/>
        <w:ind w:firstLine="567"/>
        <w:jc w:val="both"/>
        <w:rPr>
          <w:sz w:val="28"/>
          <w:szCs w:val="28"/>
          <w:lang w:val="nl-NL"/>
        </w:rPr>
      </w:pPr>
      <w:r w:rsidRPr="005345F2">
        <w:rPr>
          <w:rFonts w:eastAsia="Calibri"/>
          <w:bCs/>
          <w:sz w:val="28"/>
          <w:szCs w:val="28"/>
          <w:lang w:val="nl-NL"/>
        </w:rPr>
        <w:t>b)</w:t>
      </w:r>
      <w:r w:rsidR="004400FC" w:rsidRPr="00963E88">
        <w:rPr>
          <w:rFonts w:eastAsia="Calibri"/>
          <w:bCs/>
          <w:sz w:val="28"/>
          <w:szCs w:val="28"/>
          <w:lang w:val="nl-NL"/>
        </w:rPr>
        <w:t xml:space="preserve"> Cho phép kéo dài thờ</w:t>
      </w:r>
      <w:r w:rsidR="004400FC" w:rsidRPr="007C31A1">
        <w:rPr>
          <w:rFonts w:eastAsia="Calibri"/>
          <w:bCs/>
          <w:sz w:val="28"/>
          <w:szCs w:val="28"/>
          <w:lang w:val="nl-NL"/>
        </w:rPr>
        <w:t>i gian thực hiện và giải ngân tố</w:t>
      </w:r>
      <w:r w:rsidR="004400FC" w:rsidRPr="008B5A7C">
        <w:rPr>
          <w:rFonts w:eastAsia="Calibri"/>
          <w:bCs/>
          <w:sz w:val="28"/>
          <w:szCs w:val="28"/>
          <w:lang w:val="nl-NL"/>
        </w:rPr>
        <w:t xml:space="preserve">i đa </w:t>
      </w:r>
      <w:r w:rsidR="004400FC" w:rsidRPr="00B17C69">
        <w:rPr>
          <w:rFonts w:eastAsia="Calibri"/>
          <w:sz w:val="28"/>
          <w:szCs w:val="28"/>
          <w:lang w:val="nl-NL"/>
        </w:rPr>
        <w:t>9.204,133</w:t>
      </w:r>
      <w:r w:rsidR="004400FC" w:rsidRPr="008B5A7C">
        <w:rPr>
          <w:rFonts w:eastAsia="Calibri"/>
          <w:b/>
          <w:sz w:val="28"/>
          <w:szCs w:val="28"/>
          <w:lang w:val="nl-NL"/>
        </w:rPr>
        <w:t xml:space="preserve"> </w:t>
      </w:r>
      <w:r w:rsidR="004400FC" w:rsidRPr="00F6594C">
        <w:rPr>
          <w:rFonts w:eastAsia="Calibri"/>
          <w:bCs/>
          <w:sz w:val="28"/>
          <w:szCs w:val="28"/>
          <w:lang w:val="nl-NL"/>
        </w:rPr>
        <w:t>tỷ đồ</w:t>
      </w:r>
      <w:r w:rsidR="004400FC" w:rsidRPr="0066363D">
        <w:rPr>
          <w:rFonts w:eastAsia="Calibri"/>
          <w:bCs/>
          <w:sz w:val="28"/>
          <w:szCs w:val="28"/>
          <w:lang w:val="nl-NL"/>
        </w:rPr>
        <w:t xml:space="preserve">ng </w:t>
      </w:r>
      <w:r w:rsidR="004400FC" w:rsidRPr="0066363D">
        <w:rPr>
          <w:rFonts w:eastAsia="Calibri"/>
          <w:bCs/>
          <w:sz w:val="28"/>
          <w:szCs w:val="28"/>
          <w:lang w:val="nl-NL"/>
        </w:rPr>
        <w:lastRenderedPageBreak/>
        <w:t>kế hoạch vố</w:t>
      </w:r>
      <w:r w:rsidR="004400FC" w:rsidRPr="009741F8">
        <w:rPr>
          <w:rFonts w:eastAsia="Calibri"/>
          <w:bCs/>
          <w:sz w:val="28"/>
          <w:szCs w:val="28"/>
          <w:lang w:val="nl-NL"/>
        </w:rPr>
        <w:t>n c</w:t>
      </w:r>
      <w:r w:rsidR="004400FC" w:rsidRPr="00A1561E">
        <w:rPr>
          <w:rFonts w:eastAsia="Calibri"/>
          <w:bCs/>
          <w:sz w:val="28"/>
          <w:szCs w:val="28"/>
          <w:lang w:val="nl-NL"/>
        </w:rPr>
        <w:t>ủ</w:t>
      </w:r>
      <w:r w:rsidR="004400FC" w:rsidRPr="00963E88">
        <w:rPr>
          <w:rFonts w:eastAsia="Calibri"/>
          <w:bCs/>
          <w:sz w:val="28"/>
          <w:szCs w:val="28"/>
          <w:lang w:val="nl-NL"/>
        </w:rPr>
        <w:t xml:space="preserve">a Chương trình phục hồi và phát triển kinh tế - xã hội chưa giải ngân hết đến hết ngày 31 tháng 12 năm 2025 của 33 dự án, 02 nhiệm vụ theo </w:t>
      </w:r>
      <w:r w:rsidR="004400FC" w:rsidRPr="00963E88">
        <w:rPr>
          <w:rFonts w:eastAsia="SimSun"/>
          <w:sz w:val="28"/>
          <w:szCs w:val="28"/>
          <w:lang w:val="nl-NL"/>
        </w:rPr>
        <w:t xml:space="preserve">danh mục dự án, nhiệm vụ tại </w:t>
      </w:r>
      <w:r w:rsidR="004400FC" w:rsidRPr="00963E88">
        <w:rPr>
          <w:sz w:val="28"/>
          <w:szCs w:val="28"/>
          <w:lang w:val="nl-NL"/>
        </w:rPr>
        <w:t>Báo cáo số 652/BC-CP ngày 17 tháng 10 năm 2024 của Chính phủ.</w:t>
      </w:r>
    </w:p>
    <w:p w14:paraId="4A99F2D1" w14:textId="77777777" w:rsidR="00033573" w:rsidRPr="00561A96" w:rsidRDefault="00033573" w:rsidP="004C2667">
      <w:pPr>
        <w:widowControl w:val="0"/>
        <w:spacing w:before="120" w:line="340" w:lineRule="exact"/>
        <w:ind w:firstLine="567"/>
        <w:jc w:val="both"/>
        <w:rPr>
          <w:rFonts w:eastAsia="Calibri"/>
          <w:bCs/>
          <w:sz w:val="28"/>
          <w:szCs w:val="28"/>
          <w:lang w:val="nl-NL"/>
        </w:rPr>
      </w:pPr>
      <w:r w:rsidRPr="001B43C9">
        <w:rPr>
          <w:rFonts w:eastAsia="Calibri"/>
          <w:bCs/>
          <w:sz w:val="28"/>
          <w:szCs w:val="28"/>
          <w:lang w:val="nl-NL"/>
        </w:rPr>
        <w:t xml:space="preserve">7. </w:t>
      </w:r>
      <w:r w:rsidR="00561A96" w:rsidRPr="00397788">
        <w:rPr>
          <w:rFonts w:eastAsia="Calibri"/>
          <w:bCs/>
          <w:sz w:val="28"/>
          <w:szCs w:val="28"/>
          <w:lang w:val="nl-NL"/>
        </w:rPr>
        <w:t>Cho phép</w:t>
      </w:r>
      <w:r w:rsidRPr="001B43C9">
        <w:rPr>
          <w:sz w:val="28"/>
          <w:szCs w:val="28"/>
          <w:lang w:val="it-IT"/>
        </w:rPr>
        <w:t xml:space="preserve"> sử dụng nguồn cắt giảm, tiết kiệm 5% chi thường xuyên năm 2024 của ngân sách trung ương, ngân sách địa phương để hỗ trợ xóa nhà tạm, nhà dột nát cho hộ nghèo, hộ cận nghèo và hỗ trợ địa phương khác thực hiện nhiệm vụ này trong trường hợp địa phương không sử dụng hết nguồn; thực hiện chuyển nguồn số kinh phí chưa sử dụng hết sang năm 2025.</w:t>
      </w:r>
      <w:r w:rsidR="00561A96" w:rsidRPr="001B43C9">
        <w:rPr>
          <w:b/>
          <w:i/>
          <w:spacing w:val="-4"/>
          <w:sz w:val="28"/>
          <w:szCs w:val="28"/>
          <w:lang w:val="it-IT"/>
        </w:rPr>
        <w:t xml:space="preserve"> </w:t>
      </w:r>
      <w:r w:rsidR="00561A96" w:rsidRPr="00397788">
        <w:rPr>
          <w:spacing w:val="-4"/>
          <w:sz w:val="28"/>
          <w:szCs w:val="28"/>
          <w:lang w:val="it-IT"/>
        </w:rPr>
        <w:t>Giao Chính phủ tổ chức triển khai thực hiện.</w:t>
      </w:r>
    </w:p>
    <w:p w14:paraId="0F050B94" w14:textId="77777777" w:rsidR="008B45FF" w:rsidRPr="0085722D" w:rsidRDefault="006E2A97" w:rsidP="004C2667">
      <w:pPr>
        <w:widowControl w:val="0"/>
        <w:spacing w:before="120" w:line="340" w:lineRule="exact"/>
        <w:ind w:firstLine="567"/>
        <w:jc w:val="both"/>
        <w:rPr>
          <w:b/>
          <w:sz w:val="28"/>
          <w:szCs w:val="28"/>
        </w:rPr>
      </w:pPr>
      <w:r w:rsidRPr="004400FC">
        <w:rPr>
          <w:b/>
          <w:bCs/>
          <w:sz w:val="28"/>
          <w:szCs w:val="28"/>
        </w:rPr>
        <w:t xml:space="preserve">Điều </w:t>
      </w:r>
      <w:r w:rsidR="000636D8" w:rsidRPr="004400FC">
        <w:rPr>
          <w:b/>
          <w:bCs/>
          <w:sz w:val="28"/>
          <w:szCs w:val="28"/>
        </w:rPr>
        <w:t>3</w:t>
      </w:r>
      <w:r w:rsidRPr="004400FC">
        <w:rPr>
          <w:sz w:val="28"/>
          <w:szCs w:val="28"/>
        </w:rPr>
        <w:t xml:space="preserve">. </w:t>
      </w:r>
      <w:r w:rsidR="008B45FF" w:rsidRPr="004400FC">
        <w:rPr>
          <w:b/>
          <w:bCs/>
          <w:sz w:val="28"/>
          <w:szCs w:val="28"/>
          <w:lang w:val="vi-VN"/>
        </w:rPr>
        <w:t xml:space="preserve">Về </w:t>
      </w:r>
      <w:r w:rsidR="00017601" w:rsidRPr="004400FC">
        <w:rPr>
          <w:b/>
          <w:bCs/>
          <w:sz w:val="28"/>
          <w:szCs w:val="28"/>
        </w:rPr>
        <w:t xml:space="preserve">thực hiện </w:t>
      </w:r>
      <w:r w:rsidR="008B45FF" w:rsidRPr="004400FC">
        <w:rPr>
          <w:b/>
          <w:bCs/>
          <w:sz w:val="28"/>
          <w:szCs w:val="28"/>
          <w:lang w:val="vi-VN"/>
        </w:rPr>
        <w:t>chính sách tiền lương</w:t>
      </w:r>
      <w:r w:rsidR="00017601" w:rsidRPr="004400FC">
        <w:rPr>
          <w:b/>
          <w:bCs/>
          <w:sz w:val="28"/>
          <w:szCs w:val="28"/>
        </w:rPr>
        <w:t xml:space="preserve">, </w:t>
      </w:r>
      <w:r w:rsidR="00017601" w:rsidRPr="0085722D">
        <w:rPr>
          <w:b/>
          <w:bCs/>
          <w:sz w:val="28"/>
          <w:szCs w:val="28"/>
        </w:rPr>
        <w:t>một số chính sách xã hội</w:t>
      </w:r>
    </w:p>
    <w:p w14:paraId="4F99E376" w14:textId="77777777" w:rsidR="00287193" w:rsidRPr="006103B4" w:rsidRDefault="008B45FF"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5722D">
        <w:rPr>
          <w:sz w:val="28"/>
          <w:szCs w:val="28"/>
          <w:lang w:val="vi-VN"/>
        </w:rPr>
        <w:t xml:space="preserve">1. </w:t>
      </w:r>
      <w:r w:rsidR="006103B4" w:rsidRPr="0085722D">
        <w:rPr>
          <w:sz w:val="28"/>
          <w:szCs w:val="28"/>
          <w:lang w:val="it-IT"/>
        </w:rPr>
        <w:t>Chưa tăng tiền lương khu vực công, lương hưu, trợ cấp bảo</w:t>
      </w:r>
      <w:r w:rsidR="006103B4" w:rsidRPr="006103B4">
        <w:rPr>
          <w:sz w:val="28"/>
          <w:szCs w:val="28"/>
          <w:lang w:val="it-IT"/>
        </w:rPr>
        <w:t xml:space="preserve"> hiểm xã hội, trợ cấp hằng tháng, trợ cấp ưu đãi người có công trong năm 2025. </w:t>
      </w:r>
    </w:p>
    <w:p w14:paraId="5DB816A2" w14:textId="77777777" w:rsidR="008B45FF" w:rsidRPr="007C31A1" w:rsidRDefault="006103B4"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4"/>
          <w:sz w:val="28"/>
          <w:szCs w:val="28"/>
          <w:lang w:val="vi-VN"/>
        </w:rPr>
      </w:pPr>
      <w:r w:rsidRPr="007C31A1">
        <w:rPr>
          <w:spacing w:val="-4"/>
          <w:sz w:val="28"/>
          <w:szCs w:val="28"/>
          <w:lang w:val="vi-VN"/>
        </w:rPr>
        <w:t>2</w:t>
      </w:r>
      <w:r w:rsidR="008B45FF" w:rsidRPr="007C31A1">
        <w:rPr>
          <w:spacing w:val="-4"/>
          <w:sz w:val="28"/>
          <w:szCs w:val="28"/>
          <w:lang w:val="vi-VN"/>
        </w:rPr>
        <w:t xml:space="preserve">. Các Bộ, cơ quan trung ương, địa phương tiếp tục thực hiện các giải pháp tạo nguồn cải cách chính sách tiền lương theo quy định. </w:t>
      </w:r>
      <w:r w:rsidR="00287193" w:rsidRPr="008B5A7C">
        <w:rPr>
          <w:spacing w:val="-4"/>
          <w:sz w:val="28"/>
          <w:szCs w:val="28"/>
          <w:lang w:val="vi-VN"/>
        </w:rPr>
        <w:t>C</w:t>
      </w:r>
      <w:r w:rsidR="008B45FF" w:rsidRPr="008B5A7C">
        <w:rPr>
          <w:spacing w:val="-4"/>
          <w:sz w:val="28"/>
          <w:szCs w:val="28"/>
          <w:lang w:val="vi-VN"/>
        </w:rPr>
        <w:t>ho phép tiếp tục loại trừ một số khoản thu k</w:t>
      </w:r>
      <w:r w:rsidR="008B45FF" w:rsidRPr="00F6594C">
        <w:rPr>
          <w:spacing w:val="-4"/>
          <w:sz w:val="28"/>
          <w:szCs w:val="28"/>
          <w:lang w:val="vi-VN"/>
        </w:rPr>
        <w:t xml:space="preserve">hi tính </w:t>
      </w:r>
      <w:r w:rsidR="00700121" w:rsidRPr="00F6594C">
        <w:rPr>
          <w:spacing w:val="-4"/>
          <w:sz w:val="28"/>
          <w:szCs w:val="28"/>
          <w:lang w:val="vi-VN"/>
        </w:rPr>
        <w:t xml:space="preserve">số </w:t>
      </w:r>
      <w:r w:rsidR="009F33B0" w:rsidRPr="00F6594C">
        <w:rPr>
          <w:spacing w:val="-4"/>
          <w:sz w:val="28"/>
          <w:szCs w:val="28"/>
          <w:lang w:val="vi-VN"/>
        </w:rPr>
        <w:t xml:space="preserve">tăng thu ngân sách địa phương </w:t>
      </w:r>
      <w:r w:rsidR="008B45FF" w:rsidRPr="00F6594C">
        <w:rPr>
          <w:spacing w:val="-4"/>
          <w:sz w:val="28"/>
          <w:szCs w:val="28"/>
          <w:lang w:val="vi-VN"/>
        </w:rPr>
        <w:t>dành</w:t>
      </w:r>
      <w:r w:rsidR="009F33B0" w:rsidRPr="0083444D">
        <w:rPr>
          <w:spacing w:val="-4"/>
          <w:sz w:val="28"/>
          <w:szCs w:val="28"/>
          <w:lang w:val="vi-VN"/>
        </w:rPr>
        <w:t xml:space="preserve"> để</w:t>
      </w:r>
      <w:r w:rsidR="00A613D8" w:rsidRPr="0066363D">
        <w:rPr>
          <w:spacing w:val="-4"/>
          <w:sz w:val="28"/>
          <w:szCs w:val="28"/>
          <w:lang w:val="vi-VN"/>
        </w:rPr>
        <w:t xml:space="preserve"> </w:t>
      </w:r>
      <w:r w:rsidR="008B45FF" w:rsidRPr="0066363D">
        <w:rPr>
          <w:spacing w:val="-4"/>
          <w:sz w:val="28"/>
          <w:szCs w:val="28"/>
          <w:lang w:val="vi-VN"/>
        </w:rPr>
        <w:t>cải cách tiền lương</w:t>
      </w:r>
      <w:r w:rsidR="009F33B0" w:rsidRPr="0066363D">
        <w:rPr>
          <w:spacing w:val="-4"/>
          <w:sz w:val="28"/>
          <w:szCs w:val="28"/>
          <w:lang w:val="vi-VN"/>
        </w:rPr>
        <w:t xml:space="preserve"> </w:t>
      </w:r>
      <w:r w:rsidR="008B45FF" w:rsidRPr="0066363D">
        <w:rPr>
          <w:spacing w:val="-4"/>
          <w:sz w:val="28"/>
          <w:szCs w:val="28"/>
          <w:lang w:val="vi-VN"/>
        </w:rPr>
        <w:t xml:space="preserve">như quy định tại </w:t>
      </w:r>
      <w:r w:rsidR="00E11F97" w:rsidRPr="0066363D">
        <w:rPr>
          <w:spacing w:val="-4"/>
          <w:sz w:val="28"/>
          <w:szCs w:val="28"/>
          <w:lang w:val="vi-VN"/>
        </w:rPr>
        <w:t xml:space="preserve">khoản 2 Điều 3 </w:t>
      </w:r>
      <w:r w:rsidR="00707EB5" w:rsidRPr="009741F8">
        <w:rPr>
          <w:spacing w:val="-4"/>
          <w:sz w:val="28"/>
          <w:szCs w:val="28"/>
          <w:lang w:val="vi-VN"/>
        </w:rPr>
        <w:t xml:space="preserve">của </w:t>
      </w:r>
      <w:r w:rsidR="008B45FF" w:rsidRPr="00A1561E">
        <w:rPr>
          <w:spacing w:val="-4"/>
          <w:sz w:val="28"/>
          <w:szCs w:val="28"/>
          <w:lang w:val="vi-VN"/>
        </w:rPr>
        <w:t>Nghị quyết số 34/2021/QH15 ngày 13 tháng 11 năm 2021 của Quốc hội.</w:t>
      </w:r>
    </w:p>
    <w:p w14:paraId="7A492CD9" w14:textId="77777777" w:rsidR="00AB3366" w:rsidRDefault="008332ED"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4"/>
          <w:sz w:val="28"/>
          <w:szCs w:val="28"/>
          <w:lang w:val="it-IT"/>
        </w:rPr>
      </w:pPr>
      <w:r w:rsidRPr="00582751">
        <w:rPr>
          <w:spacing w:val="-4"/>
          <w:sz w:val="28"/>
          <w:szCs w:val="28"/>
          <w:lang w:val="vi-VN"/>
        </w:rPr>
        <w:t>3. C</w:t>
      </w:r>
      <w:r w:rsidRPr="008332ED">
        <w:rPr>
          <w:spacing w:val="-4"/>
          <w:sz w:val="28"/>
          <w:szCs w:val="28"/>
          <w:lang w:val="it-IT"/>
        </w:rPr>
        <w:t>ho phép</w:t>
      </w:r>
      <w:r w:rsidR="008178BA">
        <w:rPr>
          <w:spacing w:val="-4"/>
          <w:sz w:val="28"/>
          <w:szCs w:val="28"/>
          <w:lang w:val="it-IT"/>
        </w:rPr>
        <w:t xml:space="preserve"> từ ngày 01/7/2024</w:t>
      </w:r>
      <w:r w:rsidRPr="008332ED">
        <w:rPr>
          <w:spacing w:val="-4"/>
          <w:sz w:val="28"/>
          <w:szCs w:val="28"/>
          <w:lang w:val="it-IT"/>
        </w:rPr>
        <w:t xml:space="preserve"> </w:t>
      </w:r>
      <w:r w:rsidR="00C46A6B">
        <w:rPr>
          <w:spacing w:val="-4"/>
          <w:sz w:val="28"/>
          <w:szCs w:val="28"/>
          <w:lang w:val="it-IT"/>
        </w:rPr>
        <w:t xml:space="preserve">được </w:t>
      </w:r>
      <w:r w:rsidRPr="008332ED">
        <w:rPr>
          <w:spacing w:val="-4"/>
          <w:sz w:val="28"/>
          <w:szCs w:val="28"/>
          <w:lang w:val="it-IT"/>
        </w:rPr>
        <w:t xml:space="preserve">mở rộng phạm vi sử dụng nguồn tích lũy cho </w:t>
      </w:r>
      <w:r>
        <w:rPr>
          <w:spacing w:val="-4"/>
          <w:sz w:val="28"/>
          <w:szCs w:val="28"/>
          <w:lang w:val="it-IT"/>
        </w:rPr>
        <w:t>cải cách tiền lương</w:t>
      </w:r>
      <w:r w:rsidRPr="008332ED">
        <w:rPr>
          <w:spacing w:val="-4"/>
          <w:sz w:val="28"/>
          <w:szCs w:val="28"/>
          <w:lang w:val="it-IT"/>
        </w:rPr>
        <w:t xml:space="preserve"> của </w:t>
      </w:r>
      <w:r>
        <w:rPr>
          <w:spacing w:val="-4"/>
          <w:sz w:val="28"/>
          <w:szCs w:val="28"/>
          <w:lang w:val="it-IT"/>
        </w:rPr>
        <w:t>ngân sách trung ương</w:t>
      </w:r>
      <w:r w:rsidRPr="008332ED">
        <w:rPr>
          <w:spacing w:val="-4"/>
          <w:sz w:val="28"/>
          <w:szCs w:val="28"/>
          <w:lang w:val="it-IT"/>
        </w:rPr>
        <w:t xml:space="preserve"> để điều chỉnh lương hưu, trợ cấp </w:t>
      </w:r>
      <w:r>
        <w:rPr>
          <w:spacing w:val="-4"/>
          <w:sz w:val="28"/>
          <w:szCs w:val="28"/>
          <w:lang w:val="it-IT"/>
        </w:rPr>
        <w:t>bảo hiểm xã hội</w:t>
      </w:r>
      <w:r w:rsidRPr="008332ED">
        <w:rPr>
          <w:spacing w:val="-4"/>
          <w:sz w:val="28"/>
          <w:szCs w:val="28"/>
          <w:lang w:val="it-IT"/>
        </w:rPr>
        <w:t xml:space="preserve">, trợ cấp hằng tháng, trợ cấp ưu đãi người có công và tinh giản biên chế; cho phép sử dụng nguồn </w:t>
      </w:r>
      <w:r>
        <w:rPr>
          <w:spacing w:val="-4"/>
          <w:sz w:val="28"/>
          <w:szCs w:val="28"/>
          <w:lang w:val="it-IT"/>
        </w:rPr>
        <w:t>cải cách tiền lương</w:t>
      </w:r>
      <w:r w:rsidRPr="008332ED">
        <w:rPr>
          <w:spacing w:val="-4"/>
          <w:sz w:val="28"/>
          <w:szCs w:val="28"/>
          <w:lang w:val="it-IT"/>
        </w:rPr>
        <w:t xml:space="preserve"> của </w:t>
      </w:r>
      <w:r>
        <w:rPr>
          <w:spacing w:val="-4"/>
          <w:sz w:val="28"/>
          <w:szCs w:val="28"/>
          <w:lang w:val="it-IT"/>
        </w:rPr>
        <w:t>ngân sách địa phương</w:t>
      </w:r>
      <w:r w:rsidRPr="008332ED">
        <w:rPr>
          <w:spacing w:val="-4"/>
          <w:sz w:val="28"/>
          <w:szCs w:val="28"/>
          <w:lang w:val="it-IT"/>
        </w:rPr>
        <w:t xml:space="preserve"> để thực hiện các chính sách </w:t>
      </w:r>
      <w:r>
        <w:rPr>
          <w:spacing w:val="-4"/>
          <w:sz w:val="28"/>
          <w:szCs w:val="28"/>
          <w:lang w:val="it-IT"/>
        </w:rPr>
        <w:t>an sinh xã hội</w:t>
      </w:r>
      <w:r w:rsidRPr="008332ED">
        <w:rPr>
          <w:spacing w:val="-4"/>
          <w:sz w:val="28"/>
          <w:szCs w:val="28"/>
          <w:lang w:val="it-IT"/>
        </w:rPr>
        <w:t xml:space="preserve"> do Trung ương ban hành và tinh giản biên chế.</w:t>
      </w:r>
      <w:r w:rsidR="00F52B26">
        <w:rPr>
          <w:spacing w:val="-4"/>
          <w:sz w:val="28"/>
          <w:szCs w:val="28"/>
          <w:lang w:val="it-IT"/>
        </w:rPr>
        <w:t xml:space="preserve"> </w:t>
      </w:r>
    </w:p>
    <w:p w14:paraId="644A8587" w14:textId="77777777" w:rsidR="007221BC" w:rsidRDefault="00AB3366"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4"/>
          <w:sz w:val="28"/>
          <w:szCs w:val="28"/>
          <w:lang w:val="it-IT"/>
        </w:rPr>
      </w:pPr>
      <w:r>
        <w:rPr>
          <w:spacing w:val="-4"/>
          <w:sz w:val="28"/>
          <w:szCs w:val="28"/>
          <w:lang w:val="it-IT"/>
        </w:rPr>
        <w:t>4. C</w:t>
      </w:r>
      <w:r w:rsidR="0047500F">
        <w:rPr>
          <w:spacing w:val="-4"/>
          <w:sz w:val="28"/>
          <w:szCs w:val="28"/>
          <w:lang w:val="it-IT"/>
        </w:rPr>
        <w:t xml:space="preserve">ho phép các địa phương sử dụng nguồn cải cách tiền lương còn dư để đầu tư cho các dự án kết nối vùng, kết nối quốc gia, các công trình trọng điểm quốc gia thực hiện tại địa phương theo quy định của </w:t>
      </w:r>
      <w:r w:rsidR="00DA35AC">
        <w:rPr>
          <w:spacing w:val="-4"/>
          <w:sz w:val="28"/>
          <w:szCs w:val="28"/>
          <w:lang w:val="it-IT"/>
        </w:rPr>
        <w:t>cấp có thẩm quyền</w:t>
      </w:r>
      <w:r w:rsidR="0047500F">
        <w:rPr>
          <w:spacing w:val="-4"/>
          <w:sz w:val="28"/>
          <w:szCs w:val="28"/>
          <w:lang w:val="it-IT"/>
        </w:rPr>
        <w:t xml:space="preserve"> trong trường hợp địa phương có nguồn d</w:t>
      </w:r>
      <w:r w:rsidR="00DA35AC">
        <w:rPr>
          <w:spacing w:val="-4"/>
          <w:sz w:val="28"/>
          <w:szCs w:val="28"/>
          <w:lang w:val="it-IT"/>
        </w:rPr>
        <w:t>ư</w:t>
      </w:r>
      <w:r w:rsidR="0047500F">
        <w:rPr>
          <w:spacing w:val="-4"/>
          <w:sz w:val="28"/>
          <w:szCs w:val="28"/>
          <w:lang w:val="it-IT"/>
        </w:rPr>
        <w:t xml:space="preserve"> lớn</w:t>
      </w:r>
      <w:r w:rsidR="00F52B26">
        <w:rPr>
          <w:spacing w:val="-4"/>
          <w:sz w:val="28"/>
          <w:szCs w:val="28"/>
          <w:lang w:val="it-IT"/>
        </w:rPr>
        <w:t>,</w:t>
      </w:r>
      <w:r w:rsidR="007C31A1">
        <w:rPr>
          <w:spacing w:val="-4"/>
          <w:sz w:val="28"/>
          <w:szCs w:val="28"/>
          <w:lang w:val="it-IT"/>
        </w:rPr>
        <w:t xml:space="preserve"> </w:t>
      </w:r>
      <w:r w:rsidR="0047500F">
        <w:rPr>
          <w:spacing w:val="-4"/>
          <w:sz w:val="28"/>
          <w:szCs w:val="28"/>
          <w:lang w:val="it-IT"/>
        </w:rPr>
        <w:t xml:space="preserve">cam kết bảo </w:t>
      </w:r>
      <w:r w:rsidR="00F52B26">
        <w:rPr>
          <w:spacing w:val="-4"/>
          <w:sz w:val="28"/>
          <w:szCs w:val="28"/>
          <w:lang w:val="it-IT"/>
        </w:rPr>
        <w:t xml:space="preserve">đảm </w:t>
      </w:r>
      <w:r w:rsidR="0047500F">
        <w:rPr>
          <w:spacing w:val="-4"/>
          <w:sz w:val="28"/>
          <w:szCs w:val="28"/>
          <w:lang w:val="it-IT"/>
        </w:rPr>
        <w:t>nguồn kinh phí cải cách tiền lương và thực hiện các chính sách an sinh xã hội do Trung ương ban hành cho cả lộ trình đến năm 2030 và không đề nghị ngân sách trung ương hỗ trợ</w:t>
      </w:r>
      <w:r w:rsidR="008332ED" w:rsidRPr="008332ED">
        <w:rPr>
          <w:spacing w:val="-4"/>
          <w:sz w:val="28"/>
          <w:szCs w:val="28"/>
          <w:lang w:val="it-IT"/>
        </w:rPr>
        <w:t>.</w:t>
      </w:r>
    </w:p>
    <w:p w14:paraId="19F18042" w14:textId="77777777" w:rsidR="00D719DC" w:rsidRPr="008332ED" w:rsidRDefault="00D75F74"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b/>
          <w:sz w:val="28"/>
          <w:szCs w:val="28"/>
          <w:lang w:val="sv-SE"/>
        </w:rPr>
      </w:pPr>
      <w:r w:rsidRPr="008332ED">
        <w:rPr>
          <w:b/>
          <w:sz w:val="28"/>
          <w:szCs w:val="28"/>
          <w:lang w:val="vi-VN"/>
        </w:rPr>
        <w:t xml:space="preserve">Điều </w:t>
      </w:r>
      <w:r w:rsidR="000636D8">
        <w:rPr>
          <w:b/>
          <w:sz w:val="28"/>
          <w:szCs w:val="28"/>
          <w:lang w:val="it-IT"/>
        </w:rPr>
        <w:t>4</w:t>
      </w:r>
      <w:r w:rsidR="004B1605" w:rsidRPr="008332ED">
        <w:rPr>
          <w:b/>
          <w:sz w:val="28"/>
          <w:szCs w:val="28"/>
          <w:lang w:val="vi-VN"/>
        </w:rPr>
        <w:t>. Giao Chính phủ</w:t>
      </w:r>
    </w:p>
    <w:p w14:paraId="60D23340" w14:textId="77777777" w:rsidR="00287193" w:rsidRPr="008332ED" w:rsidRDefault="00287193"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332ED">
        <w:rPr>
          <w:sz w:val="28"/>
          <w:szCs w:val="28"/>
          <w:lang w:val="vi-VN"/>
        </w:rPr>
        <w:t xml:space="preserve">1. Tập trung điều hành chính sách tài khóa </w:t>
      </w:r>
      <w:r w:rsidR="00CE4BEB" w:rsidRPr="008332ED">
        <w:rPr>
          <w:sz w:val="28"/>
          <w:szCs w:val="28"/>
          <w:lang w:val="vi-VN"/>
        </w:rPr>
        <w:t>chủ động</w:t>
      </w:r>
      <w:r w:rsidR="00707EB5" w:rsidRPr="008332ED">
        <w:rPr>
          <w:sz w:val="28"/>
          <w:szCs w:val="28"/>
          <w:lang w:val="vi-VN"/>
        </w:rPr>
        <w:t>,</w:t>
      </w:r>
      <w:r w:rsidRPr="008332ED">
        <w:rPr>
          <w:sz w:val="28"/>
          <w:szCs w:val="28"/>
          <w:lang w:val="vi-VN"/>
        </w:rPr>
        <w:t xml:space="preserve"> hợp</w:t>
      </w:r>
      <w:r w:rsidR="00496D60" w:rsidRPr="008332ED">
        <w:rPr>
          <w:sz w:val="28"/>
          <w:szCs w:val="28"/>
          <w:lang w:val="vi-VN"/>
        </w:rPr>
        <w:t xml:space="preserve"> lý, linh hoạt</w:t>
      </w:r>
      <w:r w:rsidRPr="008332ED">
        <w:rPr>
          <w:sz w:val="28"/>
          <w:szCs w:val="28"/>
          <w:lang w:val="vi-VN"/>
        </w:rPr>
        <w:t>,</w:t>
      </w:r>
      <w:r w:rsidR="00496D60" w:rsidRPr="008332ED">
        <w:rPr>
          <w:sz w:val="28"/>
          <w:szCs w:val="28"/>
          <w:lang w:val="vi-VN"/>
        </w:rPr>
        <w:t xml:space="preserve"> </w:t>
      </w:r>
      <w:r w:rsidRPr="008332ED">
        <w:rPr>
          <w:sz w:val="28"/>
          <w:szCs w:val="28"/>
          <w:lang w:val="vi-VN"/>
        </w:rPr>
        <w:t>hiệu quả</w:t>
      </w:r>
      <w:r w:rsidR="00496D60" w:rsidRPr="008332ED">
        <w:rPr>
          <w:sz w:val="28"/>
          <w:szCs w:val="28"/>
          <w:lang w:val="vi-VN"/>
        </w:rPr>
        <w:t>; phối hợp đồng bộ, chặt chẽ, nhịp nhàng với chính sách tiền tệ và các chính sách khác;</w:t>
      </w:r>
      <w:r w:rsidRPr="008332ED">
        <w:rPr>
          <w:sz w:val="28"/>
          <w:szCs w:val="28"/>
          <w:lang w:val="vi-VN"/>
        </w:rPr>
        <w:t xml:space="preserve"> kịp thời ứng phó với biến động phức tạp của tình hình trong nước và ngoài nước, giữ vững ổn định kinh tế vĩ mô, kiểm soát lạm phát, thúc đẩy tăng trưởng, bảo đảm các cân đối lớn của nền kinh tế</w:t>
      </w:r>
      <w:r w:rsidR="00CE4BEB" w:rsidRPr="008332ED">
        <w:rPr>
          <w:sz w:val="28"/>
          <w:szCs w:val="28"/>
          <w:lang w:val="vi-VN"/>
        </w:rPr>
        <w:t xml:space="preserve">; </w:t>
      </w:r>
      <w:r w:rsidR="004E64AC">
        <w:rPr>
          <w:sz w:val="28"/>
          <w:szCs w:val="28"/>
        </w:rPr>
        <w:t>khẩn trương</w:t>
      </w:r>
      <w:r w:rsidR="00CE4BEB" w:rsidRPr="008332ED">
        <w:rPr>
          <w:sz w:val="28"/>
          <w:szCs w:val="28"/>
          <w:lang w:val="vi-VN"/>
        </w:rPr>
        <w:t xml:space="preserve"> có giải pháp khắc phục đà suy giảm các chỉ tiêu về tỷ lệ huy động vào ngân sách nhà nước trên GDP và tỷ lệ huy động từ thuế, phí vào ngân sách nhà nước</w:t>
      </w:r>
      <w:r w:rsidRPr="008332ED">
        <w:rPr>
          <w:sz w:val="28"/>
          <w:szCs w:val="28"/>
          <w:lang w:val="vi-VN"/>
        </w:rPr>
        <w:t>.</w:t>
      </w:r>
    </w:p>
    <w:p w14:paraId="7B04FED4" w14:textId="77777777" w:rsidR="00496D60" w:rsidRDefault="00287193"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332ED">
        <w:rPr>
          <w:sz w:val="28"/>
          <w:szCs w:val="28"/>
          <w:lang w:val="vi-VN"/>
        </w:rPr>
        <w:t xml:space="preserve">2. </w:t>
      </w:r>
      <w:r w:rsidR="008332ED" w:rsidRPr="008332ED">
        <w:rPr>
          <w:sz w:val="28"/>
          <w:szCs w:val="28"/>
          <w:lang w:val="vi-VN"/>
        </w:rPr>
        <w:t>Quyết liệt thực hiện các giải pháp</w:t>
      </w:r>
      <w:r w:rsidR="00CE4BEB" w:rsidRPr="008332ED">
        <w:rPr>
          <w:sz w:val="28"/>
          <w:szCs w:val="28"/>
          <w:lang w:val="vi-VN"/>
        </w:rPr>
        <w:t xml:space="preserve"> </w:t>
      </w:r>
      <w:r w:rsidRPr="008332ED">
        <w:rPr>
          <w:sz w:val="28"/>
          <w:szCs w:val="28"/>
          <w:lang w:val="vi-VN"/>
        </w:rPr>
        <w:t xml:space="preserve">tăng cường quản lý thu, cơ cấu lại nguồn thu bảo đảm tính bền vững; </w:t>
      </w:r>
      <w:r w:rsidR="00496D60" w:rsidRPr="008332ED">
        <w:rPr>
          <w:sz w:val="28"/>
          <w:szCs w:val="28"/>
          <w:lang w:val="vi-VN"/>
        </w:rPr>
        <w:t>mở rộng cơ sở thu; chống thất thu, chuyển giá</w:t>
      </w:r>
      <w:r w:rsidR="00707EB5" w:rsidRPr="008332ED">
        <w:rPr>
          <w:sz w:val="28"/>
          <w:szCs w:val="28"/>
          <w:lang w:val="vi-VN"/>
        </w:rPr>
        <w:t xml:space="preserve"> trốn </w:t>
      </w:r>
      <w:r w:rsidR="00707EB5" w:rsidRPr="008332ED">
        <w:rPr>
          <w:sz w:val="28"/>
          <w:szCs w:val="28"/>
          <w:lang w:val="vi-VN"/>
        </w:rPr>
        <w:lastRenderedPageBreak/>
        <w:t xml:space="preserve">thuế; </w:t>
      </w:r>
      <w:r w:rsidR="00496D60" w:rsidRPr="008332ED">
        <w:rPr>
          <w:sz w:val="28"/>
          <w:szCs w:val="28"/>
          <w:lang w:val="vi-VN"/>
        </w:rPr>
        <w:t xml:space="preserve">gian lận thương mại, </w:t>
      </w:r>
      <w:r w:rsidR="00707EB5" w:rsidRPr="008332ED">
        <w:rPr>
          <w:sz w:val="28"/>
          <w:szCs w:val="28"/>
          <w:lang w:val="vi-VN"/>
        </w:rPr>
        <w:t>đặc biệt trong</w:t>
      </w:r>
      <w:r w:rsidR="00496D60" w:rsidRPr="008332ED">
        <w:rPr>
          <w:sz w:val="28"/>
          <w:szCs w:val="28"/>
          <w:lang w:val="vi-VN"/>
        </w:rPr>
        <w:t xml:space="preserve"> các hoạt động thương mại dựa trên nền tảng số; đôn đốc thu hồi các khoản nợ đọng thuế, giảm tỷ lệ nợ đọng thuế;</w:t>
      </w:r>
      <w:r w:rsidRPr="008332ED">
        <w:rPr>
          <w:sz w:val="28"/>
          <w:szCs w:val="28"/>
          <w:lang w:val="vi-VN"/>
        </w:rPr>
        <w:t xml:space="preserve"> </w:t>
      </w:r>
      <w:r w:rsidR="00496D60" w:rsidRPr="008332ED">
        <w:rPr>
          <w:sz w:val="28"/>
          <w:szCs w:val="28"/>
          <w:lang w:val="vi-VN"/>
        </w:rPr>
        <w:t xml:space="preserve">tiếp tục triển khai thực hiện cải cách thủ tục hành chính về thuế, đẩy mạnh điện tử hóa quản lý thuế; thực hiện nghiêm quy định về đấu giá khi thực hiện chuyển nhượng, cho thuê tài sản công, giao đất, cho thuê đất theo quy định của pháp luật. </w:t>
      </w:r>
    </w:p>
    <w:p w14:paraId="09B11064" w14:textId="77777777" w:rsidR="009B65BF" w:rsidRPr="00397788" w:rsidRDefault="007A614E"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2"/>
          <w:sz w:val="28"/>
          <w:szCs w:val="28"/>
        </w:rPr>
      </w:pPr>
      <w:bookmarkStart w:id="2" w:name="_Hlk181262006"/>
      <w:r w:rsidRPr="00397788">
        <w:rPr>
          <w:spacing w:val="-2"/>
          <w:sz w:val="29"/>
          <w:szCs w:val="29"/>
        </w:rPr>
        <w:t>C</w:t>
      </w:r>
      <w:r w:rsidR="009B65BF" w:rsidRPr="00397788">
        <w:rPr>
          <w:spacing w:val="-2"/>
          <w:sz w:val="29"/>
          <w:szCs w:val="29"/>
          <w:lang w:val="vi-VN"/>
        </w:rPr>
        <w:t xml:space="preserve">hỉ đạo các cơ quan chuyên môn </w:t>
      </w:r>
      <w:r w:rsidR="003D79CC" w:rsidRPr="00397788">
        <w:rPr>
          <w:spacing w:val="-2"/>
          <w:sz w:val="29"/>
          <w:szCs w:val="29"/>
        </w:rPr>
        <w:t>sớm</w:t>
      </w:r>
      <w:r w:rsidRPr="00397788">
        <w:rPr>
          <w:spacing w:val="-2"/>
          <w:sz w:val="29"/>
          <w:szCs w:val="29"/>
          <w:lang w:val="vi-VN"/>
        </w:rPr>
        <w:t xml:space="preserve"> </w:t>
      </w:r>
      <w:r w:rsidR="009B65BF" w:rsidRPr="00397788">
        <w:rPr>
          <w:spacing w:val="-2"/>
          <w:sz w:val="29"/>
          <w:szCs w:val="29"/>
          <w:lang w:val="vi-VN"/>
        </w:rPr>
        <w:t xml:space="preserve">xây dựng phương án sửa đổi Luật </w:t>
      </w:r>
      <w:r w:rsidR="009B65BF" w:rsidRPr="00397788">
        <w:rPr>
          <w:spacing w:val="-2"/>
          <w:sz w:val="29"/>
          <w:szCs w:val="29"/>
        </w:rPr>
        <w:t>Ngân sách nhà nước</w:t>
      </w:r>
      <w:r w:rsidR="009B65BF" w:rsidRPr="00397788">
        <w:rPr>
          <w:spacing w:val="-2"/>
          <w:sz w:val="29"/>
          <w:szCs w:val="29"/>
          <w:lang w:val="vi-VN"/>
        </w:rPr>
        <w:t xml:space="preserve">, gắn với việc sửa đổi cơ chế phân cấp nguồn thu, nhiệm vụ chi một cách tổng thể, thận trọng, có đánh giá tác động đầy đủ nhằm bảo đảm vai trò chủ đạo của </w:t>
      </w:r>
      <w:r w:rsidR="009B65BF" w:rsidRPr="00397788">
        <w:rPr>
          <w:spacing w:val="-2"/>
          <w:sz w:val="29"/>
          <w:szCs w:val="29"/>
        </w:rPr>
        <w:t>ngân sách trung ương</w:t>
      </w:r>
      <w:r w:rsidRPr="00397788">
        <w:rPr>
          <w:spacing w:val="-2"/>
          <w:sz w:val="29"/>
          <w:szCs w:val="29"/>
        </w:rPr>
        <w:t xml:space="preserve"> trình Quốc hội xem xét, quyết định</w:t>
      </w:r>
      <w:r w:rsidR="009B65BF" w:rsidRPr="00397788">
        <w:rPr>
          <w:spacing w:val="-2"/>
          <w:sz w:val="29"/>
          <w:szCs w:val="29"/>
        </w:rPr>
        <w:t>.</w:t>
      </w:r>
    </w:p>
    <w:bookmarkEnd w:id="2"/>
    <w:p w14:paraId="68CE8C17" w14:textId="77777777" w:rsidR="00287193" w:rsidRPr="00F52B26" w:rsidRDefault="009B65BF"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512CB3">
        <w:rPr>
          <w:sz w:val="28"/>
          <w:szCs w:val="28"/>
        </w:rPr>
        <w:t xml:space="preserve"> </w:t>
      </w:r>
      <w:r w:rsidR="00287193" w:rsidRPr="00512CB3">
        <w:rPr>
          <w:sz w:val="28"/>
          <w:szCs w:val="28"/>
          <w:lang w:val="vi-VN"/>
        </w:rPr>
        <w:t xml:space="preserve">3. Siết chặt kỷ luật, kỷ cương, tăng cường trách nhiệm người đứng đầu trong quản lý, sử dụng tài chính, ngân sách; điều hành chi ngân sách nhà nước </w:t>
      </w:r>
      <w:r w:rsidR="00620DA8" w:rsidRPr="00512CB3">
        <w:rPr>
          <w:sz w:val="28"/>
          <w:szCs w:val="28"/>
          <w:lang w:val="it-IT"/>
        </w:rPr>
        <w:t xml:space="preserve">theo dự toán, bảo đảm </w:t>
      </w:r>
      <w:r w:rsidR="00287193" w:rsidRPr="00512CB3">
        <w:rPr>
          <w:sz w:val="28"/>
          <w:szCs w:val="28"/>
          <w:lang w:val="vi-VN"/>
        </w:rPr>
        <w:t xml:space="preserve">chặt chẽ, tiết kiệm, hiệu quả; </w:t>
      </w:r>
      <w:r w:rsidR="00620DA8" w:rsidRPr="00512CB3">
        <w:rPr>
          <w:sz w:val="28"/>
          <w:szCs w:val="28"/>
          <w:lang w:val="it-IT"/>
        </w:rPr>
        <w:t>triệt để tiết kiệm</w:t>
      </w:r>
      <w:r w:rsidR="00287193" w:rsidRPr="00512CB3">
        <w:rPr>
          <w:sz w:val="28"/>
          <w:szCs w:val="28"/>
          <w:lang w:val="vi-VN"/>
        </w:rPr>
        <w:t xml:space="preserve"> </w:t>
      </w:r>
      <w:r w:rsidR="00620DA8" w:rsidRPr="00512CB3">
        <w:rPr>
          <w:sz w:val="28"/>
          <w:szCs w:val="28"/>
          <w:lang w:val="it-IT"/>
        </w:rPr>
        <w:t>các khoản chi</w:t>
      </w:r>
      <w:r w:rsidR="00620DA8" w:rsidRPr="00512CB3">
        <w:rPr>
          <w:sz w:val="28"/>
          <w:szCs w:val="28"/>
          <w:lang w:val="vi-VN"/>
        </w:rPr>
        <w:t xml:space="preserve"> </w:t>
      </w:r>
      <w:r w:rsidR="00287193" w:rsidRPr="00512CB3">
        <w:rPr>
          <w:sz w:val="28"/>
          <w:szCs w:val="28"/>
          <w:lang w:val="vi-VN"/>
        </w:rPr>
        <w:t>chưa thực sự cần thiết</w:t>
      </w:r>
      <w:r w:rsidR="00620DA8" w:rsidRPr="00512CB3">
        <w:rPr>
          <w:sz w:val="28"/>
          <w:szCs w:val="28"/>
          <w:lang w:val="it-IT"/>
        </w:rPr>
        <w:t xml:space="preserve"> để bảo đảm nguồn lực cho phòng, chống thiên </w:t>
      </w:r>
      <w:r w:rsidR="00A613D8" w:rsidRPr="00512CB3">
        <w:rPr>
          <w:sz w:val="28"/>
          <w:szCs w:val="28"/>
          <w:lang w:val="it-IT"/>
        </w:rPr>
        <w:t>tai</w:t>
      </w:r>
      <w:r w:rsidR="00620DA8" w:rsidRPr="00512CB3">
        <w:rPr>
          <w:sz w:val="28"/>
          <w:szCs w:val="28"/>
          <w:lang w:val="it-IT"/>
        </w:rPr>
        <w:t xml:space="preserve">, dịch bệnh, bổ sung vốn </w:t>
      </w:r>
      <w:r w:rsidR="005633B8" w:rsidRPr="00512CB3">
        <w:rPr>
          <w:sz w:val="28"/>
          <w:szCs w:val="28"/>
          <w:lang w:val="it-IT"/>
        </w:rPr>
        <w:t>đầu tư phát triển và</w:t>
      </w:r>
      <w:r w:rsidR="00620DA8" w:rsidRPr="00512CB3">
        <w:rPr>
          <w:sz w:val="28"/>
          <w:szCs w:val="28"/>
          <w:lang w:val="it-IT"/>
        </w:rPr>
        <w:t xml:space="preserve"> </w:t>
      </w:r>
      <w:r w:rsidR="005633B8" w:rsidRPr="00512CB3">
        <w:rPr>
          <w:sz w:val="28"/>
          <w:szCs w:val="28"/>
          <w:lang w:val="it-IT"/>
        </w:rPr>
        <w:t>hỗ trợ phục hồi kinh tế;</w:t>
      </w:r>
      <w:r w:rsidR="004303AE" w:rsidRPr="00512CB3">
        <w:rPr>
          <w:sz w:val="28"/>
          <w:szCs w:val="28"/>
          <w:lang w:val="it-IT"/>
        </w:rPr>
        <w:t xml:space="preserve"> </w:t>
      </w:r>
      <w:r w:rsidR="005633B8" w:rsidRPr="00512CB3">
        <w:rPr>
          <w:sz w:val="28"/>
          <w:szCs w:val="28"/>
          <w:lang w:val="it-IT"/>
        </w:rPr>
        <w:t>phấn đấu tăng cao hơn nữa tỉ lệ chi đầu tư phát triển</w:t>
      </w:r>
      <w:r w:rsidR="00287193" w:rsidRPr="00512CB3">
        <w:rPr>
          <w:sz w:val="28"/>
          <w:szCs w:val="28"/>
          <w:lang w:val="vi-VN"/>
        </w:rPr>
        <w:t xml:space="preserve">; chỉ ban hành chính sách làm tăng chi ngân sách khi thực sự cần thiết và có nguồn bảo đảm; phân bổ và giao dự toán đúng thời hạn theo quy định của Luật Ngân sách nhà nước; nâng cao chất lượng công tác chuẩn bị đầu tư, khắc phục hạn chế trong chậm triển khai thực hiện dự án đầu tư công, chậm giải ngân vốn đầu tư công; kiên quyết điều chuyển vốn của các dự án chậm tiến độ sang các dự án có khả năng </w:t>
      </w:r>
      <w:r w:rsidR="00CE4BEB" w:rsidRPr="00512CB3">
        <w:rPr>
          <w:sz w:val="28"/>
          <w:szCs w:val="28"/>
          <w:lang w:val="it-IT"/>
        </w:rPr>
        <w:t xml:space="preserve">thực hiện và </w:t>
      </w:r>
      <w:r w:rsidR="00287193" w:rsidRPr="00512CB3">
        <w:rPr>
          <w:sz w:val="28"/>
          <w:szCs w:val="28"/>
          <w:lang w:val="vi-VN"/>
        </w:rPr>
        <w:t>giải ngân nhưng thiếu vốn, hạn chế</w:t>
      </w:r>
      <w:r w:rsidR="00547EF2" w:rsidRPr="00512CB3">
        <w:rPr>
          <w:sz w:val="28"/>
          <w:szCs w:val="28"/>
          <w:lang w:val="vi-VN"/>
        </w:rPr>
        <w:t xml:space="preserve"> tối đa việc chuyển nguồn</w:t>
      </w:r>
      <w:r w:rsidR="00287193" w:rsidRPr="00512CB3">
        <w:rPr>
          <w:sz w:val="28"/>
          <w:szCs w:val="28"/>
          <w:lang w:val="vi-VN"/>
        </w:rPr>
        <w:t>.</w:t>
      </w:r>
      <w:r w:rsidR="001836AB" w:rsidRPr="00512CB3">
        <w:rPr>
          <w:sz w:val="28"/>
          <w:szCs w:val="28"/>
        </w:rPr>
        <w:t xml:space="preserve"> </w:t>
      </w:r>
      <w:r w:rsidR="001836AB" w:rsidRPr="00F52B26">
        <w:rPr>
          <w:sz w:val="28"/>
          <w:szCs w:val="28"/>
        </w:rPr>
        <w:t>Có giải pháp đẩy nhanh tiến độ thực hiện cổ phần hóa, thoái vốn nhà nước tại doanh nghiệp, bảo đảm hiệu quả, chặt chẽ, tránh gây thất thoát vốn và tài sản nhà nước tại doanh nghiệp.</w:t>
      </w:r>
    </w:p>
    <w:p w14:paraId="56E13E4C" w14:textId="7052E980" w:rsidR="00287193" w:rsidRPr="009B7D86" w:rsidRDefault="00287193"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9B7D86">
        <w:rPr>
          <w:sz w:val="28"/>
          <w:szCs w:val="28"/>
          <w:lang w:val="vi-VN"/>
        </w:rPr>
        <w:t xml:space="preserve">Có giải pháp hiệu quả nhằm nâng cao chất lượng đề xuất, công tác chuẩn bị, phê duyệt dự án </w:t>
      </w:r>
      <w:r w:rsidR="00522DAA">
        <w:rPr>
          <w:sz w:val="28"/>
          <w:szCs w:val="28"/>
        </w:rPr>
        <w:t xml:space="preserve">sử dụng vốn </w:t>
      </w:r>
      <w:r w:rsidRPr="009B7D86">
        <w:rPr>
          <w:sz w:val="28"/>
          <w:szCs w:val="28"/>
          <w:lang w:val="vi-VN"/>
        </w:rPr>
        <w:t>ODA, xây dựng kế hoạch triển khai cụ t</w:t>
      </w:r>
      <w:r w:rsidR="00606C82" w:rsidRPr="009B7D86">
        <w:rPr>
          <w:sz w:val="28"/>
          <w:szCs w:val="28"/>
          <w:lang w:val="vi-VN"/>
        </w:rPr>
        <w:t>hể cho từng giai đoạn thực hiện. Xem xét trách nhiệm trong xây dựng dự toán không sát thực tế, tổ chức thực hiện thiếu hiệu quả dẫn đến giải ngân vốn đầu tư công thấp.</w:t>
      </w:r>
      <w:r w:rsidRPr="009B7D86">
        <w:rPr>
          <w:sz w:val="28"/>
          <w:szCs w:val="28"/>
          <w:lang w:val="vi-VN"/>
        </w:rPr>
        <w:t xml:space="preserve"> </w:t>
      </w:r>
      <w:r w:rsidR="00606C82" w:rsidRPr="009B7D86">
        <w:rPr>
          <w:sz w:val="28"/>
          <w:szCs w:val="28"/>
          <w:lang w:val="vi-VN"/>
        </w:rPr>
        <w:t>N</w:t>
      </w:r>
      <w:r w:rsidRPr="009B7D86">
        <w:rPr>
          <w:sz w:val="28"/>
          <w:szCs w:val="28"/>
          <w:lang w:val="vi-VN"/>
        </w:rPr>
        <w:t>ghiên cứu</w:t>
      </w:r>
      <w:r w:rsidR="00707EB5" w:rsidRPr="009B7D86">
        <w:rPr>
          <w:sz w:val="28"/>
          <w:szCs w:val="28"/>
          <w:lang w:val="vi-VN"/>
        </w:rPr>
        <w:t>, có</w:t>
      </w:r>
      <w:r w:rsidRPr="009B7D86">
        <w:rPr>
          <w:sz w:val="28"/>
          <w:szCs w:val="28"/>
          <w:lang w:val="vi-VN"/>
        </w:rPr>
        <w:t xml:space="preserve"> chế tài xử lý đối với các trường hợp trả lại kế hoạch vốn hằng năm do nguyên nhân chủ quan.</w:t>
      </w:r>
    </w:p>
    <w:p w14:paraId="1A1FD1B0" w14:textId="77777777" w:rsidR="008332ED" w:rsidRPr="008332ED" w:rsidRDefault="00287193"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332ED">
        <w:rPr>
          <w:sz w:val="28"/>
          <w:szCs w:val="28"/>
          <w:lang w:val="vi-VN"/>
        </w:rPr>
        <w:t xml:space="preserve">4. </w:t>
      </w:r>
      <w:r w:rsidR="008332ED">
        <w:rPr>
          <w:sz w:val="28"/>
          <w:szCs w:val="28"/>
          <w:lang w:val="sv-SE"/>
        </w:rPr>
        <w:t>Chỉ</w:t>
      </w:r>
      <w:r w:rsidR="008332ED" w:rsidRPr="008F54AC">
        <w:rPr>
          <w:sz w:val="28"/>
          <w:szCs w:val="28"/>
          <w:lang w:val="sv-SE"/>
        </w:rPr>
        <w:t xml:space="preserve"> đạo các Bộ, cơ quan có liên quan nghiên cứu, đề xuất việc xử lý các bất hợp lý phát sinh trong chế độ cho một số đối tượng, ngành nghề (viên chức ngành giáo dục, y tế,...); </w:t>
      </w:r>
      <w:r w:rsidR="008332ED" w:rsidRPr="008F54AC">
        <w:rPr>
          <w:sz w:val="28"/>
          <w:szCs w:val="28"/>
          <w:lang w:val="it-IT"/>
        </w:rPr>
        <w:t xml:space="preserve">đề xuất việc tiếp tục điều chỉnh tăng tiền lương khu vực công, lương hưu, trợ cấp bảo hiểm xã hội, trợ cấp hằng tháng, trợ cấp ưu đãi người có công trong trường hợp tình hình kinh tế - xã hội năm 2025 thuận lợi hơn và cân đối được nguồn, báo cáo </w:t>
      </w:r>
      <w:r w:rsidR="008332ED" w:rsidRPr="008F54AC">
        <w:rPr>
          <w:sz w:val="28"/>
          <w:szCs w:val="28"/>
          <w:lang w:val="sv-SE"/>
        </w:rPr>
        <w:t>cấp có thẩm quyền xem xét, quyết định</w:t>
      </w:r>
      <w:r w:rsidR="007C31A1">
        <w:rPr>
          <w:sz w:val="28"/>
          <w:szCs w:val="28"/>
          <w:lang w:val="sv-SE"/>
        </w:rPr>
        <w:t>.</w:t>
      </w:r>
    </w:p>
    <w:p w14:paraId="51BC0BE0" w14:textId="77777777" w:rsidR="00287193" w:rsidRPr="008332ED" w:rsidRDefault="008332ED"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8332ED">
        <w:rPr>
          <w:sz w:val="28"/>
          <w:szCs w:val="28"/>
          <w:lang w:val="vi-VN"/>
        </w:rPr>
        <w:t xml:space="preserve">5. </w:t>
      </w:r>
      <w:r w:rsidR="00287193" w:rsidRPr="008332ED">
        <w:rPr>
          <w:sz w:val="28"/>
          <w:szCs w:val="28"/>
          <w:lang w:val="vi-VN"/>
        </w:rPr>
        <w:t>Tiếp tục chỉ đạo các Bộ, cơ quan trung ương, địa phương thực hiện tinh giản biên chế, sắp xếp tổ chức bộ máy hành chính tinh gọn, hoạt động hiệu lực, hiệu quả; đổi mới cơ chế quản lý, cơ chế tài chính, tổ chức lại hệ thống các đơn vị sự nghiệp công lập, giảm hỗ trợ trực tiếp từ ngân sách nhà nước cho các đơn vị sự nghiệp công lập.</w:t>
      </w:r>
    </w:p>
    <w:p w14:paraId="36208065" w14:textId="77777777" w:rsidR="00287193" w:rsidRPr="008332ED" w:rsidRDefault="00342A40"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342A40">
        <w:rPr>
          <w:sz w:val="28"/>
          <w:szCs w:val="28"/>
          <w:lang w:val="vi-VN"/>
        </w:rPr>
        <w:lastRenderedPageBreak/>
        <w:t>6</w:t>
      </w:r>
      <w:r w:rsidR="00287193" w:rsidRPr="008332ED">
        <w:rPr>
          <w:sz w:val="28"/>
          <w:szCs w:val="28"/>
          <w:lang w:val="vi-VN"/>
        </w:rPr>
        <w:t xml:space="preserve">. Chỉ đạo triệt để thực hành tiết kiệm, chống lãng phí; tăng cường thanh tra, kiểm tra, xử lý trách nhiệm của các tổ chức, cá nhân trong việc chấp hành các quy định về thực hành tiết kiệm, chống lãng phí, bảo đảm hiệu quả sử dụng ngân sách nhà nước. Chú trọng tổ chức thực hiện các </w:t>
      </w:r>
      <w:r w:rsidR="00EB2006" w:rsidRPr="008332ED">
        <w:rPr>
          <w:sz w:val="28"/>
          <w:szCs w:val="28"/>
          <w:lang w:val="vi-VN"/>
        </w:rPr>
        <w:t>quy định</w:t>
      </w:r>
      <w:r w:rsidR="00CE6EEA" w:rsidRPr="008332ED">
        <w:rPr>
          <w:sz w:val="28"/>
          <w:szCs w:val="28"/>
          <w:lang w:val="vi-VN"/>
        </w:rPr>
        <w:t xml:space="preserve"> </w:t>
      </w:r>
      <w:r w:rsidR="00287193" w:rsidRPr="008332ED">
        <w:rPr>
          <w:sz w:val="28"/>
          <w:szCs w:val="28"/>
          <w:lang w:val="vi-VN"/>
        </w:rPr>
        <w:t xml:space="preserve">tại Nghị quyết </w:t>
      </w:r>
      <w:r w:rsidR="008A75BC" w:rsidRPr="008332ED">
        <w:rPr>
          <w:sz w:val="28"/>
          <w:szCs w:val="28"/>
          <w:lang w:val="vi-VN"/>
        </w:rPr>
        <w:t xml:space="preserve">số 74/2022/QH15 ngày 15 tháng 11 năm 2022 của Quốc hội </w:t>
      </w:r>
      <w:r w:rsidR="00287193" w:rsidRPr="008332ED">
        <w:rPr>
          <w:sz w:val="28"/>
          <w:szCs w:val="28"/>
          <w:lang w:val="vi-VN"/>
        </w:rPr>
        <w:t>về đẩy mạnh thực hiện chính sách pháp luật về thực hành tiết kiệm, chống lãng phí.</w:t>
      </w:r>
    </w:p>
    <w:p w14:paraId="17EA6B60" w14:textId="77777777" w:rsidR="00287193" w:rsidRDefault="00342A40"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vi-VN"/>
        </w:rPr>
      </w:pPr>
      <w:r w:rsidRPr="00342A40">
        <w:rPr>
          <w:sz w:val="28"/>
          <w:szCs w:val="28"/>
          <w:lang w:val="vi-VN"/>
        </w:rPr>
        <w:t>7</w:t>
      </w:r>
      <w:r w:rsidR="00287193" w:rsidRPr="008332ED">
        <w:rPr>
          <w:sz w:val="28"/>
          <w:szCs w:val="28"/>
          <w:lang w:val="vi-VN"/>
        </w:rPr>
        <w:t>. Kiểm soát chặt chẽ bội chi ngân sách nhà nước, bội chi ngân sách địa phương và mức vay nợ của ngân sách địa phương</w:t>
      </w:r>
      <w:r w:rsidR="008A1541" w:rsidRPr="008332ED">
        <w:rPr>
          <w:sz w:val="28"/>
          <w:szCs w:val="28"/>
          <w:lang w:val="vi-VN"/>
        </w:rPr>
        <w:t>, tỷ lệ nghĩa vụ trả nợ</w:t>
      </w:r>
      <w:r w:rsidR="008F0E25">
        <w:rPr>
          <w:sz w:val="28"/>
          <w:szCs w:val="28"/>
        </w:rPr>
        <w:t xml:space="preserve"> trực tiếp</w:t>
      </w:r>
      <w:r w:rsidR="008A1541" w:rsidRPr="008332ED">
        <w:rPr>
          <w:sz w:val="28"/>
          <w:szCs w:val="28"/>
          <w:lang w:val="vi-VN"/>
        </w:rPr>
        <w:t xml:space="preserve"> của Chính phủ</w:t>
      </w:r>
      <w:r w:rsidR="008F0E25">
        <w:rPr>
          <w:sz w:val="28"/>
          <w:szCs w:val="28"/>
        </w:rPr>
        <w:t xml:space="preserve"> so với tổng thu ngân sách nhà nước</w:t>
      </w:r>
      <w:r w:rsidR="00287193" w:rsidRPr="008332ED">
        <w:rPr>
          <w:sz w:val="28"/>
          <w:szCs w:val="28"/>
          <w:lang w:val="vi-VN"/>
        </w:rPr>
        <w:t>. Tăng cường kiểm tra, thanh tra việc vay, sử dụng vốn vay và trả nợ, nhất là đối với các hiệp định vay mới, vay nước ngoài, vay có bảo lãnh của Chính phủ; đánh giá, dự báo rủi ro về khả năng vay, khả năng trả nợ để có phương án quản lý, điều hành hiệu quả ngân sách nhà nước; chủ động thực hiện các giải pháp cơ cấu lại nợ công theo quy định của Luật Quản lý nợ công; bảo đảm tiết kiệm, hiệu quả khi mua lại, hoán đổi, thanh toán trái phiếu Chính phủ; điều hành kinh phí chi trả chi phí phát hành, mua lại, hoán đổi, thanh toán trái phiếu Chính phủ trong phạm vi dự toán chi trả nợ lãi của ngân sách trung ương năm 202</w:t>
      </w:r>
      <w:r w:rsidR="0057523C">
        <w:rPr>
          <w:sz w:val="28"/>
          <w:szCs w:val="28"/>
        </w:rPr>
        <w:t>5</w:t>
      </w:r>
      <w:r w:rsidR="00287193" w:rsidRPr="008332ED">
        <w:rPr>
          <w:sz w:val="28"/>
          <w:szCs w:val="28"/>
          <w:lang w:val="vi-VN"/>
        </w:rPr>
        <w:t xml:space="preserve"> được Quốc hội quyết định.</w:t>
      </w:r>
    </w:p>
    <w:p w14:paraId="1725FCB2" w14:textId="77777777" w:rsidR="001277E9" w:rsidRPr="00342A40" w:rsidRDefault="00D75F74"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b/>
          <w:spacing w:val="-4"/>
          <w:sz w:val="28"/>
          <w:szCs w:val="28"/>
          <w:lang w:val="nl-NL"/>
        </w:rPr>
      </w:pPr>
      <w:r w:rsidRPr="00342A40">
        <w:rPr>
          <w:rFonts w:hint="eastAsia"/>
          <w:b/>
          <w:spacing w:val="-4"/>
          <w:sz w:val="28"/>
          <w:szCs w:val="28"/>
          <w:lang w:val="vi-VN"/>
        </w:rPr>
        <w:t>Đ</w:t>
      </w:r>
      <w:r w:rsidRPr="00342A40">
        <w:rPr>
          <w:b/>
          <w:spacing w:val="-4"/>
          <w:sz w:val="28"/>
          <w:szCs w:val="28"/>
          <w:lang w:val="vi-VN"/>
        </w:rPr>
        <w:t xml:space="preserve">iều </w:t>
      </w:r>
      <w:r w:rsidR="00717DB0">
        <w:rPr>
          <w:b/>
          <w:spacing w:val="-4"/>
          <w:sz w:val="28"/>
          <w:szCs w:val="28"/>
        </w:rPr>
        <w:t>5</w:t>
      </w:r>
      <w:r w:rsidRPr="00342A40">
        <w:rPr>
          <w:b/>
          <w:spacing w:val="-4"/>
          <w:sz w:val="28"/>
          <w:szCs w:val="28"/>
          <w:lang w:val="vi-VN"/>
        </w:rPr>
        <w:t xml:space="preserve">. </w:t>
      </w:r>
      <w:r w:rsidR="00F77021" w:rsidRPr="00342A40">
        <w:rPr>
          <w:b/>
          <w:spacing w:val="-4"/>
          <w:sz w:val="28"/>
          <w:szCs w:val="28"/>
          <w:lang w:val="vi-VN"/>
        </w:rPr>
        <w:t>Gi</w:t>
      </w:r>
      <w:r w:rsidR="00F77021" w:rsidRPr="00342A40">
        <w:rPr>
          <w:rFonts w:hint="eastAsia"/>
          <w:b/>
          <w:spacing w:val="-4"/>
          <w:sz w:val="28"/>
          <w:szCs w:val="28"/>
          <w:lang w:val="vi-VN"/>
        </w:rPr>
        <w:t>á</w:t>
      </w:r>
      <w:r w:rsidR="00F77021" w:rsidRPr="00342A40">
        <w:rPr>
          <w:b/>
          <w:spacing w:val="-4"/>
          <w:sz w:val="28"/>
          <w:szCs w:val="28"/>
          <w:lang w:val="vi-VN"/>
        </w:rPr>
        <w:t>m s</w:t>
      </w:r>
      <w:r w:rsidR="00F77021" w:rsidRPr="00342A40">
        <w:rPr>
          <w:rFonts w:hint="eastAsia"/>
          <w:b/>
          <w:spacing w:val="-4"/>
          <w:sz w:val="28"/>
          <w:szCs w:val="28"/>
          <w:lang w:val="vi-VN"/>
        </w:rPr>
        <w:t>á</w:t>
      </w:r>
      <w:r w:rsidR="00F77021" w:rsidRPr="00342A40">
        <w:rPr>
          <w:b/>
          <w:spacing w:val="-4"/>
          <w:sz w:val="28"/>
          <w:szCs w:val="28"/>
          <w:lang w:val="vi-VN"/>
        </w:rPr>
        <w:t>t v</w:t>
      </w:r>
      <w:r w:rsidR="00F77021" w:rsidRPr="00342A40">
        <w:rPr>
          <w:rFonts w:hint="eastAsia"/>
          <w:b/>
          <w:spacing w:val="-4"/>
          <w:sz w:val="28"/>
          <w:szCs w:val="28"/>
          <w:lang w:val="vi-VN"/>
        </w:rPr>
        <w:t>à</w:t>
      </w:r>
      <w:r w:rsidR="00F77021" w:rsidRPr="00342A40">
        <w:rPr>
          <w:b/>
          <w:spacing w:val="-4"/>
          <w:sz w:val="28"/>
          <w:szCs w:val="28"/>
          <w:lang w:val="vi-VN"/>
        </w:rPr>
        <w:t xml:space="preserve"> kiểm to</w:t>
      </w:r>
      <w:r w:rsidR="00F77021" w:rsidRPr="00342A40">
        <w:rPr>
          <w:rFonts w:hint="eastAsia"/>
          <w:b/>
          <w:spacing w:val="-4"/>
          <w:sz w:val="28"/>
          <w:szCs w:val="28"/>
          <w:lang w:val="vi-VN"/>
        </w:rPr>
        <w:t>á</w:t>
      </w:r>
      <w:r w:rsidR="00F77021" w:rsidRPr="00342A40">
        <w:rPr>
          <w:b/>
          <w:spacing w:val="-4"/>
          <w:sz w:val="28"/>
          <w:szCs w:val="28"/>
          <w:lang w:val="vi-VN"/>
        </w:rPr>
        <w:t xml:space="preserve">n việc thực hiện </w:t>
      </w:r>
      <w:r w:rsidR="00AC4DA0" w:rsidRPr="00342A40">
        <w:rPr>
          <w:b/>
          <w:spacing w:val="-4"/>
          <w:sz w:val="28"/>
          <w:szCs w:val="28"/>
          <w:lang w:val="vi-VN"/>
        </w:rPr>
        <w:t>Nghị quyết</w:t>
      </w:r>
      <w:r w:rsidRPr="00342A40">
        <w:rPr>
          <w:b/>
          <w:spacing w:val="-4"/>
          <w:sz w:val="28"/>
          <w:szCs w:val="28"/>
          <w:lang w:val="vi-VN"/>
        </w:rPr>
        <w:t xml:space="preserve"> </w:t>
      </w:r>
    </w:p>
    <w:p w14:paraId="275C02B2" w14:textId="77777777" w:rsidR="001277E9" w:rsidRPr="00342A40" w:rsidRDefault="00F77021"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z w:val="28"/>
          <w:szCs w:val="28"/>
          <w:lang w:val="nl-NL"/>
        </w:rPr>
      </w:pPr>
      <w:bookmarkStart w:id="3" w:name="_GoBack"/>
      <w:r w:rsidRPr="00342A40">
        <w:rPr>
          <w:sz w:val="28"/>
          <w:szCs w:val="28"/>
          <w:lang w:val="vi-VN"/>
        </w:rPr>
        <w:t xml:space="preserve">1. </w:t>
      </w:r>
      <w:r w:rsidR="00D75F74" w:rsidRPr="00342A40">
        <w:rPr>
          <w:sz w:val="28"/>
          <w:szCs w:val="28"/>
          <w:lang w:val="vi-VN"/>
        </w:rPr>
        <w:t xml:space="preserve">Ủy ban Thường vụ Quốc hội, Ủy ban Tài chính, Ngân sách, Hội đồng Dân tộc và các Ủy ban khác của Quốc hội, các Đoàn đại biểu Quốc hội, </w:t>
      </w:r>
      <w:r w:rsidR="00563592" w:rsidRPr="00342A40">
        <w:rPr>
          <w:sz w:val="28"/>
          <w:szCs w:val="28"/>
          <w:lang w:val="vi-VN"/>
        </w:rPr>
        <w:t>đ</w:t>
      </w:r>
      <w:r w:rsidR="00D75F74" w:rsidRPr="00342A40">
        <w:rPr>
          <w:sz w:val="28"/>
          <w:szCs w:val="28"/>
          <w:lang w:val="vi-VN"/>
        </w:rPr>
        <w:t>ại biểu Quốc hội</w:t>
      </w:r>
      <w:r w:rsidR="00542F3A" w:rsidRPr="00342A40">
        <w:rPr>
          <w:sz w:val="28"/>
          <w:szCs w:val="28"/>
          <w:lang w:val="vi-VN"/>
        </w:rPr>
        <w:t>, Mặt trận Tổ quốc Việt Nam</w:t>
      </w:r>
      <w:r w:rsidR="00D17F6F" w:rsidRPr="00342A40">
        <w:rPr>
          <w:sz w:val="28"/>
          <w:szCs w:val="28"/>
          <w:lang w:val="nl-NL"/>
        </w:rPr>
        <w:t xml:space="preserve"> và các tổ chức thành viên</w:t>
      </w:r>
      <w:r w:rsidR="00B30493" w:rsidRPr="00342A40">
        <w:rPr>
          <w:sz w:val="28"/>
          <w:szCs w:val="28"/>
          <w:lang w:val="vi-VN"/>
        </w:rPr>
        <w:t>,</w:t>
      </w:r>
      <w:r w:rsidR="00D75F74" w:rsidRPr="00342A40">
        <w:rPr>
          <w:sz w:val="28"/>
          <w:szCs w:val="28"/>
          <w:lang w:val="vi-VN"/>
        </w:rPr>
        <w:t xml:space="preserve"> trong phạm vi nhiệm</w:t>
      </w:r>
      <w:r w:rsidR="00B30493" w:rsidRPr="00342A40">
        <w:rPr>
          <w:sz w:val="28"/>
          <w:szCs w:val="28"/>
          <w:lang w:val="vi-VN"/>
        </w:rPr>
        <w:t xml:space="preserve"> vụ</w:t>
      </w:r>
      <w:r w:rsidR="00D75F74" w:rsidRPr="00342A40">
        <w:rPr>
          <w:sz w:val="28"/>
          <w:szCs w:val="28"/>
          <w:lang w:val="vi-VN"/>
        </w:rPr>
        <w:t>, quyền hạn</w:t>
      </w:r>
      <w:r w:rsidR="00B30493" w:rsidRPr="00342A40">
        <w:rPr>
          <w:sz w:val="28"/>
          <w:szCs w:val="28"/>
          <w:lang w:val="vi-VN"/>
        </w:rPr>
        <w:t xml:space="preserve"> của mình</w:t>
      </w:r>
      <w:r w:rsidR="00D75F74" w:rsidRPr="00342A40">
        <w:rPr>
          <w:sz w:val="28"/>
          <w:szCs w:val="28"/>
          <w:lang w:val="vi-VN"/>
        </w:rPr>
        <w:t>, giám sát việc thực hiện Nghị quyết này.</w:t>
      </w:r>
    </w:p>
    <w:p w14:paraId="0FE02BD3" w14:textId="77777777" w:rsidR="00F77021" w:rsidRPr="00342A40" w:rsidRDefault="00F77021" w:rsidP="004C2667">
      <w:pPr>
        <w:widowControl w:val="0"/>
        <w:pBdr>
          <w:top w:val="dotted" w:sz="4" w:space="0" w:color="FFFFFF"/>
          <w:left w:val="dotted" w:sz="4" w:space="0" w:color="FFFFFF"/>
          <w:bottom w:val="dotted" w:sz="4" w:space="15" w:color="FFFFFF"/>
          <w:right w:val="dotted" w:sz="4" w:space="0" w:color="FFFFFF"/>
        </w:pBdr>
        <w:shd w:val="clear" w:color="auto" w:fill="FFFFFF"/>
        <w:spacing w:before="120" w:line="340" w:lineRule="exact"/>
        <w:ind w:firstLine="567"/>
        <w:jc w:val="both"/>
        <w:rPr>
          <w:spacing w:val="-4"/>
          <w:sz w:val="28"/>
          <w:szCs w:val="28"/>
          <w:lang w:val="nl-NL"/>
        </w:rPr>
      </w:pPr>
      <w:r w:rsidRPr="00342A40">
        <w:rPr>
          <w:spacing w:val="-4"/>
          <w:sz w:val="28"/>
          <w:szCs w:val="28"/>
          <w:lang w:val="vi-VN"/>
        </w:rPr>
        <w:t xml:space="preserve">2. Kiểm toán </w:t>
      </w:r>
      <w:r w:rsidR="00AC4DA0" w:rsidRPr="00342A40">
        <w:rPr>
          <w:spacing w:val="-4"/>
          <w:sz w:val="28"/>
          <w:szCs w:val="28"/>
          <w:lang w:val="nl-NL"/>
        </w:rPr>
        <w:t>n</w:t>
      </w:r>
      <w:r w:rsidR="00AC4DA0" w:rsidRPr="00342A40">
        <w:rPr>
          <w:spacing w:val="-4"/>
          <w:sz w:val="28"/>
          <w:szCs w:val="28"/>
          <w:lang w:val="vi-VN"/>
        </w:rPr>
        <w:t xml:space="preserve">hà </w:t>
      </w:r>
      <w:r w:rsidRPr="00342A40">
        <w:rPr>
          <w:spacing w:val="-4"/>
          <w:sz w:val="28"/>
          <w:szCs w:val="28"/>
          <w:lang w:val="vi-VN"/>
        </w:rPr>
        <w:t>nước</w:t>
      </w:r>
      <w:r w:rsidR="00B30493" w:rsidRPr="00342A40">
        <w:rPr>
          <w:spacing w:val="-4"/>
          <w:sz w:val="28"/>
          <w:szCs w:val="28"/>
          <w:lang w:val="vi-VN"/>
        </w:rPr>
        <w:t>,</w:t>
      </w:r>
      <w:r w:rsidRPr="00342A40">
        <w:rPr>
          <w:spacing w:val="-4"/>
          <w:sz w:val="28"/>
          <w:szCs w:val="28"/>
          <w:lang w:val="vi-VN"/>
        </w:rPr>
        <w:t xml:space="preserve"> trong phạm vi nhiệm</w:t>
      </w:r>
      <w:r w:rsidR="00563592" w:rsidRPr="00342A40">
        <w:rPr>
          <w:spacing w:val="-4"/>
          <w:sz w:val="28"/>
          <w:szCs w:val="28"/>
          <w:lang w:val="vi-VN"/>
        </w:rPr>
        <w:t xml:space="preserve"> vụ</w:t>
      </w:r>
      <w:r w:rsidRPr="00342A40">
        <w:rPr>
          <w:spacing w:val="-4"/>
          <w:sz w:val="28"/>
          <w:szCs w:val="28"/>
          <w:lang w:val="vi-VN"/>
        </w:rPr>
        <w:t>, quyền hạn</w:t>
      </w:r>
      <w:r w:rsidR="00B30493" w:rsidRPr="00342A40">
        <w:rPr>
          <w:spacing w:val="-4"/>
          <w:sz w:val="28"/>
          <w:szCs w:val="28"/>
          <w:lang w:val="vi-VN"/>
        </w:rPr>
        <w:t xml:space="preserve"> của mình</w:t>
      </w:r>
      <w:r w:rsidRPr="00342A40">
        <w:rPr>
          <w:spacing w:val="-4"/>
          <w:sz w:val="28"/>
          <w:szCs w:val="28"/>
          <w:lang w:val="vi-VN"/>
        </w:rPr>
        <w:t xml:space="preserve">, tiến hành kiểm toán việc thực hiện </w:t>
      </w:r>
      <w:r w:rsidR="00944FF1" w:rsidRPr="00342A40">
        <w:rPr>
          <w:spacing w:val="-4"/>
          <w:sz w:val="28"/>
          <w:szCs w:val="28"/>
          <w:lang w:val="vi-VN"/>
        </w:rPr>
        <w:t>N</w:t>
      </w:r>
      <w:r w:rsidR="00910C9B" w:rsidRPr="00342A40">
        <w:rPr>
          <w:spacing w:val="-4"/>
          <w:sz w:val="28"/>
          <w:szCs w:val="28"/>
          <w:lang w:val="vi-VN"/>
        </w:rPr>
        <w:t>ghị quyết này</w:t>
      </w:r>
      <w:r w:rsidR="006371A7" w:rsidRPr="00342A40">
        <w:rPr>
          <w:spacing w:val="-4"/>
          <w:sz w:val="28"/>
          <w:szCs w:val="28"/>
          <w:lang w:val="vi-VN"/>
        </w:rPr>
        <w:t xml:space="preserve"> bảo</w:t>
      </w:r>
      <w:r w:rsidR="004B411C" w:rsidRPr="00342A40">
        <w:rPr>
          <w:spacing w:val="-4"/>
          <w:sz w:val="28"/>
          <w:szCs w:val="28"/>
          <w:lang w:val="vi-VN"/>
        </w:rPr>
        <w:t xml:space="preserve"> đảm</w:t>
      </w:r>
      <w:r w:rsidR="006371A7" w:rsidRPr="00342A40">
        <w:rPr>
          <w:spacing w:val="-4"/>
          <w:sz w:val="28"/>
          <w:szCs w:val="28"/>
          <w:lang w:val="vi-VN"/>
        </w:rPr>
        <w:t xml:space="preserve"> đúng quy định của pháp luật</w:t>
      </w:r>
      <w:r w:rsidRPr="00342A40">
        <w:rPr>
          <w:spacing w:val="-4"/>
          <w:sz w:val="28"/>
          <w:szCs w:val="28"/>
          <w:lang w:val="vi-VN"/>
        </w:rPr>
        <w:t>.</w:t>
      </w:r>
    </w:p>
    <w:bookmarkEnd w:id="3"/>
    <w:p w14:paraId="25FE0A3B" w14:textId="733EFA1E" w:rsidR="00D75F74" w:rsidRPr="00342A40" w:rsidRDefault="00630C69" w:rsidP="001E37DB">
      <w:pPr>
        <w:pStyle w:val="Form"/>
        <w:spacing w:before="120" w:after="0" w:line="264" w:lineRule="auto"/>
        <w:ind w:firstLine="567"/>
        <w:rPr>
          <w:rFonts w:ascii="Times New Roman" w:hAnsi="Times New Roman"/>
          <w:i/>
          <w:lang w:val="vi-VN"/>
        </w:rPr>
      </w:pPr>
      <w:r>
        <w:rPr>
          <w:noProof/>
          <w:lang w:val="en-US" w:eastAsia="en-US"/>
        </w:rPr>
        <mc:AlternateContent>
          <mc:Choice Requires="wps">
            <w:drawing>
              <wp:anchor distT="4294967295" distB="4294967295" distL="114300" distR="114300" simplePos="0" relativeHeight="251656192" behindDoc="0" locked="0" layoutInCell="1" allowOverlap="1" wp14:anchorId="4BD1AAEB" wp14:editId="4596CDF7">
                <wp:simplePos x="0" y="0"/>
                <wp:positionH relativeFrom="column">
                  <wp:posOffset>13335</wp:posOffset>
                </wp:positionH>
                <wp:positionV relativeFrom="paragraph">
                  <wp:posOffset>-114936</wp:posOffset>
                </wp:positionV>
                <wp:extent cx="5715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418DF"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05pt" to="451.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"/>
            </w:pict>
          </mc:Fallback>
        </mc:AlternateContent>
      </w:r>
      <w:r w:rsidR="00D75F74" w:rsidRPr="00342A40">
        <w:rPr>
          <w:rFonts w:ascii="Times New Roman" w:hAnsi="Times New Roman"/>
          <w:i/>
          <w:lang w:val="vi-VN"/>
        </w:rPr>
        <w:t xml:space="preserve">Nghị quyết này được Quốc hội nước Cộng </w:t>
      </w:r>
      <w:r w:rsidR="001A471E" w:rsidRPr="00342A40">
        <w:rPr>
          <w:rFonts w:ascii="Times New Roman" w:hAnsi="Times New Roman"/>
          <w:i/>
          <w:lang w:val="vi-VN"/>
        </w:rPr>
        <w:t>hòa</w:t>
      </w:r>
      <w:r w:rsidR="00D75F74" w:rsidRPr="00342A40">
        <w:rPr>
          <w:rFonts w:ascii="Times New Roman" w:hAnsi="Times New Roman"/>
          <w:i/>
          <w:lang w:val="vi-VN"/>
        </w:rPr>
        <w:t xml:space="preserve"> xã hội chủ nghĩa Việt Nam khoá XV, kỳ họp thứ </w:t>
      </w:r>
      <w:r w:rsidR="008332ED" w:rsidRPr="00342A40">
        <w:rPr>
          <w:rFonts w:ascii="Times New Roman" w:hAnsi="Times New Roman"/>
          <w:i/>
          <w:lang w:val="nl-NL"/>
        </w:rPr>
        <w:t>8</w:t>
      </w:r>
      <w:r w:rsidR="00C34229" w:rsidRPr="00342A40">
        <w:rPr>
          <w:rFonts w:ascii="Times New Roman" w:hAnsi="Times New Roman"/>
          <w:i/>
          <w:lang w:val="vi-VN"/>
        </w:rPr>
        <w:t xml:space="preserve"> </w:t>
      </w:r>
      <w:r w:rsidR="00D75F74" w:rsidRPr="00342A40">
        <w:rPr>
          <w:rFonts w:ascii="Times New Roman" w:hAnsi="Times New Roman"/>
          <w:i/>
          <w:lang w:val="vi-VN"/>
        </w:rPr>
        <w:t xml:space="preserve">thông qua ngày </w:t>
      </w:r>
      <w:r w:rsidR="007027E3">
        <w:rPr>
          <w:rFonts w:ascii="Times New Roman" w:hAnsi="Times New Roman"/>
          <w:i/>
          <w:lang w:val="nl-NL"/>
        </w:rPr>
        <w:t>13</w:t>
      </w:r>
      <w:r w:rsidR="007027E3" w:rsidRPr="00342A40">
        <w:rPr>
          <w:rFonts w:ascii="Times New Roman" w:hAnsi="Times New Roman"/>
          <w:i/>
          <w:lang w:val="vi-VN"/>
        </w:rPr>
        <w:t xml:space="preserve"> </w:t>
      </w:r>
      <w:r w:rsidR="00D75F74" w:rsidRPr="00342A40">
        <w:rPr>
          <w:rFonts w:ascii="Times New Roman" w:hAnsi="Times New Roman"/>
          <w:i/>
          <w:lang w:val="vi-VN"/>
        </w:rPr>
        <w:t xml:space="preserve">tháng 11 năm </w:t>
      </w:r>
      <w:r w:rsidR="005C782C" w:rsidRPr="00342A40">
        <w:rPr>
          <w:rFonts w:ascii="Times New Roman" w:hAnsi="Times New Roman"/>
          <w:i/>
          <w:lang w:val="vi-VN"/>
        </w:rPr>
        <w:t>20</w:t>
      </w:r>
      <w:r w:rsidR="00E0743D" w:rsidRPr="00342A40">
        <w:rPr>
          <w:rFonts w:ascii="Times New Roman" w:hAnsi="Times New Roman"/>
          <w:i/>
          <w:lang w:val="vi-VN"/>
        </w:rPr>
        <w:t>2</w:t>
      </w:r>
      <w:r w:rsidR="008332ED" w:rsidRPr="00342A40">
        <w:rPr>
          <w:rFonts w:ascii="Times New Roman" w:hAnsi="Times New Roman"/>
          <w:i/>
          <w:lang w:val="nl-NL"/>
        </w:rPr>
        <w:t>4</w:t>
      </w:r>
      <w:r w:rsidR="00D75F74" w:rsidRPr="00342A40">
        <w:rPr>
          <w:rFonts w:ascii="Times New Roman" w:hAnsi="Times New Roman"/>
          <w:i/>
          <w:lang w:val="vi-VN"/>
        </w:rPr>
        <w:t xml:space="preserve">. </w:t>
      </w:r>
    </w:p>
    <w:tbl>
      <w:tblPr>
        <w:tblW w:w="9288" w:type="dxa"/>
        <w:tblLayout w:type="fixed"/>
        <w:tblLook w:val="0000" w:firstRow="0" w:lastRow="0" w:firstColumn="0" w:lastColumn="0" w:noHBand="0" w:noVBand="0"/>
      </w:tblPr>
      <w:tblGrid>
        <w:gridCol w:w="3528"/>
        <w:gridCol w:w="810"/>
        <w:gridCol w:w="4950"/>
      </w:tblGrid>
      <w:tr w:rsidR="00D75F74" w:rsidRPr="0057523C" w14:paraId="461D421A" w14:textId="77777777">
        <w:tc>
          <w:tcPr>
            <w:tcW w:w="3528" w:type="dxa"/>
          </w:tcPr>
          <w:p w14:paraId="1DDB4557" w14:textId="77777777" w:rsidR="00D75F74" w:rsidRPr="00342A40" w:rsidRDefault="00A613D8" w:rsidP="00AD4284">
            <w:pPr>
              <w:spacing w:before="120" w:line="264" w:lineRule="auto"/>
              <w:jc w:val="both"/>
              <w:rPr>
                <w:sz w:val="28"/>
                <w:szCs w:val="28"/>
                <w:lang w:val="vi-VN"/>
              </w:rPr>
            </w:pPr>
            <w:r w:rsidRPr="00342A40">
              <w:rPr>
                <w:sz w:val="28"/>
                <w:szCs w:val="28"/>
                <w:lang w:val="vi-VN"/>
              </w:rPr>
              <w:t xml:space="preserve"> </w:t>
            </w:r>
            <w:r w:rsidR="00D75F74" w:rsidRPr="00342A40">
              <w:rPr>
                <w:sz w:val="28"/>
                <w:szCs w:val="28"/>
                <w:lang w:val="vi-VN"/>
              </w:rPr>
              <w:t xml:space="preserve"> </w:t>
            </w:r>
          </w:p>
        </w:tc>
        <w:tc>
          <w:tcPr>
            <w:tcW w:w="810" w:type="dxa"/>
          </w:tcPr>
          <w:p w14:paraId="7FFFCE27" w14:textId="77777777" w:rsidR="00D75F74" w:rsidRPr="00342A40" w:rsidRDefault="00D75F74" w:rsidP="00AD4284">
            <w:pPr>
              <w:spacing w:before="120" w:line="264" w:lineRule="auto"/>
              <w:jc w:val="both"/>
              <w:rPr>
                <w:sz w:val="28"/>
                <w:szCs w:val="28"/>
                <w:lang w:val="vi-VN"/>
              </w:rPr>
            </w:pPr>
          </w:p>
        </w:tc>
        <w:tc>
          <w:tcPr>
            <w:tcW w:w="4950" w:type="dxa"/>
          </w:tcPr>
          <w:p w14:paraId="1394AD2D" w14:textId="77777777" w:rsidR="00932393" w:rsidRPr="00342A40" w:rsidRDefault="00D75F74" w:rsidP="00AD4284">
            <w:pPr>
              <w:spacing w:before="120" w:line="264" w:lineRule="auto"/>
              <w:jc w:val="center"/>
              <w:rPr>
                <w:b/>
                <w:sz w:val="28"/>
                <w:szCs w:val="28"/>
                <w:lang w:val="vi-VN"/>
              </w:rPr>
            </w:pPr>
            <w:r w:rsidRPr="00342A40">
              <w:rPr>
                <w:b/>
                <w:sz w:val="26"/>
                <w:szCs w:val="26"/>
                <w:lang w:val="vi-VN"/>
              </w:rPr>
              <w:t>CHỦ TỊCH QUỐC HỘI</w:t>
            </w:r>
          </w:p>
          <w:p w14:paraId="49C44654" w14:textId="26C93511" w:rsidR="003D11DC" w:rsidRDefault="000D42C7">
            <w:pPr>
              <w:spacing w:before="120" w:line="264" w:lineRule="auto"/>
              <w:jc w:val="center"/>
              <w:rPr>
                <w:b/>
                <w:sz w:val="28"/>
                <w:szCs w:val="28"/>
              </w:rPr>
            </w:pPr>
            <w:r w:rsidRPr="000D42C7">
              <w:rPr>
                <w:b/>
                <w:sz w:val="28"/>
                <w:szCs w:val="28"/>
              </w:rPr>
              <w:t>(Đã ký)</w:t>
            </w:r>
          </w:p>
          <w:p w14:paraId="10058633" w14:textId="77777777" w:rsidR="000D42C7" w:rsidRPr="000D42C7" w:rsidRDefault="000D42C7">
            <w:pPr>
              <w:spacing w:before="120" w:line="264" w:lineRule="auto"/>
              <w:jc w:val="center"/>
              <w:rPr>
                <w:b/>
                <w:sz w:val="28"/>
                <w:szCs w:val="28"/>
              </w:rPr>
            </w:pPr>
          </w:p>
          <w:p w14:paraId="09CADA16" w14:textId="77777777" w:rsidR="00CD07EB" w:rsidRPr="00582751" w:rsidRDefault="008332ED">
            <w:pPr>
              <w:jc w:val="center"/>
              <w:rPr>
                <w:b/>
                <w:sz w:val="28"/>
                <w:szCs w:val="28"/>
                <w:lang w:val="vi-VN"/>
              </w:rPr>
            </w:pPr>
            <w:r w:rsidRPr="00582751">
              <w:rPr>
                <w:b/>
                <w:sz w:val="28"/>
                <w:szCs w:val="28"/>
                <w:lang w:val="vi-VN"/>
              </w:rPr>
              <w:t>Trần Thanh Mẫn</w:t>
            </w:r>
          </w:p>
        </w:tc>
      </w:tr>
    </w:tbl>
    <w:p w14:paraId="6B7DBD8E" w14:textId="77777777" w:rsidR="008B45FF" w:rsidRPr="00F05E6D" w:rsidRDefault="008B45FF" w:rsidP="008B45FF">
      <w:pPr>
        <w:jc w:val="both"/>
        <w:rPr>
          <w:color w:val="FF0000"/>
          <w:sz w:val="28"/>
          <w:szCs w:val="28"/>
          <w:lang w:val="vi-VN"/>
        </w:rPr>
      </w:pPr>
    </w:p>
    <w:sectPr w:rsidR="008B45FF" w:rsidRPr="00F05E6D" w:rsidSect="00463A17">
      <w:headerReference w:type="even" r:id="rId10"/>
      <w:headerReference w:type="default" r:id="rId11"/>
      <w:footerReference w:type="even" r:id="rId12"/>
      <w:footerReference w:type="default" r:id="rId13"/>
      <w:footerReference w:type="first" r:id="rId14"/>
      <w:pgSz w:w="11906" w:h="16838" w:code="9"/>
      <w:pgMar w:top="993" w:right="1134" w:bottom="993" w:left="1701" w:header="578"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DB59C" w14:textId="77777777" w:rsidR="00DE22BD" w:rsidRDefault="00DE22BD">
      <w:r>
        <w:separator/>
      </w:r>
    </w:p>
  </w:endnote>
  <w:endnote w:type="continuationSeparator" w:id="0">
    <w:p w14:paraId="25A01B8C" w14:textId="77777777" w:rsidR="00DE22BD" w:rsidRDefault="00DE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Arial Narrow">
    <w:altName w:val="Courier New"/>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B3A84" w14:textId="77777777" w:rsidR="003C6B45" w:rsidRDefault="000D10E4" w:rsidP="00C13016">
    <w:pPr>
      <w:pStyle w:val="Footer"/>
      <w:framePr w:wrap="around" w:vAnchor="text" w:hAnchor="margin" w:xAlign="center" w:y="1"/>
      <w:rPr>
        <w:rStyle w:val="PageNumber"/>
      </w:rPr>
    </w:pPr>
    <w:r>
      <w:rPr>
        <w:rStyle w:val="PageNumber"/>
      </w:rPr>
      <w:fldChar w:fldCharType="begin"/>
    </w:r>
    <w:r w:rsidR="003C6B45">
      <w:rPr>
        <w:rStyle w:val="PageNumber"/>
      </w:rPr>
      <w:instrText xml:space="preserve">PAGE  </w:instrText>
    </w:r>
    <w:r>
      <w:rPr>
        <w:rStyle w:val="PageNumber"/>
      </w:rPr>
      <w:fldChar w:fldCharType="end"/>
    </w:r>
  </w:p>
  <w:p w14:paraId="7D40C639" w14:textId="77777777" w:rsidR="003C6B45" w:rsidRDefault="003C6B45" w:rsidP="007302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D575E" w14:textId="77777777" w:rsidR="003C6B45" w:rsidRDefault="003C6B45" w:rsidP="00CF3AD7">
    <w:pPr>
      <w:pStyle w:val="Footer"/>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B934" w14:textId="77777777" w:rsidR="003C6B45" w:rsidRDefault="003C6B45" w:rsidP="008A74B4">
    <w:pPr>
      <w:pStyle w:val="Footer"/>
      <w:jc w:val="center"/>
    </w:pPr>
  </w:p>
  <w:p w14:paraId="2789C6ED" w14:textId="77777777" w:rsidR="003C6B45" w:rsidRDefault="003C6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1D34C" w14:textId="77777777" w:rsidR="00DE22BD" w:rsidRDefault="00DE22BD">
      <w:r>
        <w:separator/>
      </w:r>
    </w:p>
  </w:footnote>
  <w:footnote w:type="continuationSeparator" w:id="0">
    <w:p w14:paraId="649699F2" w14:textId="77777777" w:rsidR="00DE22BD" w:rsidRDefault="00DE2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1D78E" w14:textId="77777777" w:rsidR="003C6B45" w:rsidRDefault="000D10E4" w:rsidP="00730285">
    <w:pPr>
      <w:pStyle w:val="Header"/>
      <w:framePr w:wrap="around" w:vAnchor="text" w:hAnchor="margin" w:xAlign="center" w:y="1"/>
      <w:rPr>
        <w:rStyle w:val="PageNumber"/>
      </w:rPr>
    </w:pPr>
    <w:r>
      <w:rPr>
        <w:rStyle w:val="PageNumber"/>
      </w:rPr>
      <w:fldChar w:fldCharType="begin"/>
    </w:r>
    <w:r w:rsidR="003C6B45">
      <w:rPr>
        <w:rStyle w:val="PageNumber"/>
      </w:rPr>
      <w:instrText xml:space="preserve">PAGE  </w:instrText>
    </w:r>
    <w:r>
      <w:rPr>
        <w:rStyle w:val="PageNumber"/>
      </w:rPr>
      <w:fldChar w:fldCharType="separate"/>
    </w:r>
    <w:r w:rsidR="003C6B45">
      <w:rPr>
        <w:rStyle w:val="PageNumber"/>
        <w:noProof/>
      </w:rPr>
      <w:t>1</w:t>
    </w:r>
    <w:r>
      <w:rPr>
        <w:rStyle w:val="PageNumber"/>
      </w:rPr>
      <w:fldChar w:fldCharType="end"/>
    </w:r>
  </w:p>
  <w:p w14:paraId="4DB73FF2" w14:textId="77777777" w:rsidR="003C6B45" w:rsidRDefault="003C6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E852" w14:textId="77777777" w:rsidR="003C6B45" w:rsidRPr="00CF3AD7" w:rsidRDefault="000D10E4">
    <w:pPr>
      <w:pStyle w:val="Header"/>
      <w:jc w:val="center"/>
      <w:rPr>
        <w:rFonts w:ascii="Times New Roman" w:hAnsi="Times New Roman"/>
      </w:rPr>
    </w:pPr>
    <w:r w:rsidRPr="00CF3AD7">
      <w:rPr>
        <w:rFonts w:ascii="Times New Roman" w:hAnsi="Times New Roman"/>
      </w:rPr>
      <w:fldChar w:fldCharType="begin"/>
    </w:r>
    <w:r w:rsidR="003C6B45" w:rsidRPr="00CF3AD7">
      <w:rPr>
        <w:rFonts w:ascii="Times New Roman" w:hAnsi="Times New Roman"/>
      </w:rPr>
      <w:instrText xml:space="preserve"> PAGE   \* MERGEFORMAT </w:instrText>
    </w:r>
    <w:r w:rsidRPr="00CF3AD7">
      <w:rPr>
        <w:rFonts w:ascii="Times New Roman" w:hAnsi="Times New Roman"/>
      </w:rPr>
      <w:fldChar w:fldCharType="separate"/>
    </w:r>
    <w:r w:rsidR="00766FA7">
      <w:rPr>
        <w:rFonts w:ascii="Times New Roman" w:hAnsi="Times New Roman"/>
        <w:noProof/>
      </w:rPr>
      <w:t>6</w:t>
    </w:r>
    <w:r w:rsidRPr="00CF3AD7">
      <w:rPr>
        <w:rFonts w:ascii="Times New Roman" w:hAnsi="Times New Roman"/>
        <w:noProof/>
      </w:rPr>
      <w:fldChar w:fldCharType="end"/>
    </w:r>
  </w:p>
  <w:p w14:paraId="06D04B43" w14:textId="77777777" w:rsidR="003C6B45" w:rsidRDefault="003C6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74"/>
    <w:rsid w:val="00001A88"/>
    <w:rsid w:val="00001D14"/>
    <w:rsid w:val="00003076"/>
    <w:rsid w:val="000033A6"/>
    <w:rsid w:val="0000359E"/>
    <w:rsid w:val="000058B4"/>
    <w:rsid w:val="00017601"/>
    <w:rsid w:val="0002170B"/>
    <w:rsid w:val="00022D02"/>
    <w:rsid w:val="00023371"/>
    <w:rsid w:val="000309B8"/>
    <w:rsid w:val="00033573"/>
    <w:rsid w:val="000345BC"/>
    <w:rsid w:val="00035A6C"/>
    <w:rsid w:val="000421B8"/>
    <w:rsid w:val="0004521C"/>
    <w:rsid w:val="00050EE3"/>
    <w:rsid w:val="000511BF"/>
    <w:rsid w:val="000543CD"/>
    <w:rsid w:val="00055982"/>
    <w:rsid w:val="0005688F"/>
    <w:rsid w:val="00056E77"/>
    <w:rsid w:val="000607DD"/>
    <w:rsid w:val="0006265A"/>
    <w:rsid w:val="00062781"/>
    <w:rsid w:val="0006333A"/>
    <w:rsid w:val="000636D8"/>
    <w:rsid w:val="000653D0"/>
    <w:rsid w:val="00066A0B"/>
    <w:rsid w:val="00067DB6"/>
    <w:rsid w:val="00072B1A"/>
    <w:rsid w:val="00072D5C"/>
    <w:rsid w:val="00074D9C"/>
    <w:rsid w:val="00075174"/>
    <w:rsid w:val="000756D7"/>
    <w:rsid w:val="00080564"/>
    <w:rsid w:val="000870A9"/>
    <w:rsid w:val="00087DEC"/>
    <w:rsid w:val="0009438E"/>
    <w:rsid w:val="00096499"/>
    <w:rsid w:val="000A0152"/>
    <w:rsid w:val="000A183E"/>
    <w:rsid w:val="000A1BF4"/>
    <w:rsid w:val="000A1CD3"/>
    <w:rsid w:val="000A305A"/>
    <w:rsid w:val="000A65BA"/>
    <w:rsid w:val="000B129B"/>
    <w:rsid w:val="000B64D9"/>
    <w:rsid w:val="000C0161"/>
    <w:rsid w:val="000C5717"/>
    <w:rsid w:val="000D0186"/>
    <w:rsid w:val="000D0896"/>
    <w:rsid w:val="000D10E4"/>
    <w:rsid w:val="000D2147"/>
    <w:rsid w:val="000D42C7"/>
    <w:rsid w:val="000E07B4"/>
    <w:rsid w:val="000E375C"/>
    <w:rsid w:val="000F0B74"/>
    <w:rsid w:val="000F3828"/>
    <w:rsid w:val="000F3B35"/>
    <w:rsid w:val="00105FFE"/>
    <w:rsid w:val="00114C4A"/>
    <w:rsid w:val="00116375"/>
    <w:rsid w:val="001204E6"/>
    <w:rsid w:val="001230EE"/>
    <w:rsid w:val="00125D06"/>
    <w:rsid w:val="00127241"/>
    <w:rsid w:val="001272C9"/>
    <w:rsid w:val="001277E9"/>
    <w:rsid w:val="0013576A"/>
    <w:rsid w:val="001357D6"/>
    <w:rsid w:val="00137071"/>
    <w:rsid w:val="00141EF5"/>
    <w:rsid w:val="0014212A"/>
    <w:rsid w:val="00142136"/>
    <w:rsid w:val="001451C3"/>
    <w:rsid w:val="00147568"/>
    <w:rsid w:val="001512A0"/>
    <w:rsid w:val="0015533D"/>
    <w:rsid w:val="00157788"/>
    <w:rsid w:val="00161484"/>
    <w:rsid w:val="00162E64"/>
    <w:rsid w:val="0016480F"/>
    <w:rsid w:val="00165CF0"/>
    <w:rsid w:val="001707EB"/>
    <w:rsid w:val="00170D2C"/>
    <w:rsid w:val="00173A57"/>
    <w:rsid w:val="00177DC4"/>
    <w:rsid w:val="001836AB"/>
    <w:rsid w:val="00183E97"/>
    <w:rsid w:val="00187A92"/>
    <w:rsid w:val="001918C7"/>
    <w:rsid w:val="00193144"/>
    <w:rsid w:val="001932FC"/>
    <w:rsid w:val="001947DB"/>
    <w:rsid w:val="001954E3"/>
    <w:rsid w:val="001A081E"/>
    <w:rsid w:val="001A471E"/>
    <w:rsid w:val="001A4FC0"/>
    <w:rsid w:val="001A7E57"/>
    <w:rsid w:val="001B1661"/>
    <w:rsid w:val="001B43C9"/>
    <w:rsid w:val="001B6C2C"/>
    <w:rsid w:val="001C3B8F"/>
    <w:rsid w:val="001C5AE6"/>
    <w:rsid w:val="001C630E"/>
    <w:rsid w:val="001D074C"/>
    <w:rsid w:val="001D2A76"/>
    <w:rsid w:val="001D5276"/>
    <w:rsid w:val="001E07A4"/>
    <w:rsid w:val="001E0CC0"/>
    <w:rsid w:val="001E37DB"/>
    <w:rsid w:val="001E3A8E"/>
    <w:rsid w:val="001E5937"/>
    <w:rsid w:val="001E6EAE"/>
    <w:rsid w:val="0020000F"/>
    <w:rsid w:val="002021F8"/>
    <w:rsid w:val="00206E36"/>
    <w:rsid w:val="002120DF"/>
    <w:rsid w:val="002160B9"/>
    <w:rsid w:val="002301D5"/>
    <w:rsid w:val="00233224"/>
    <w:rsid w:val="002348EA"/>
    <w:rsid w:val="00235E8D"/>
    <w:rsid w:val="00241C4B"/>
    <w:rsid w:val="00241D7C"/>
    <w:rsid w:val="00243482"/>
    <w:rsid w:val="002525FC"/>
    <w:rsid w:val="00255BCA"/>
    <w:rsid w:val="00256F01"/>
    <w:rsid w:val="0026166D"/>
    <w:rsid w:val="0026182F"/>
    <w:rsid w:val="00261C4B"/>
    <w:rsid w:val="00263EC4"/>
    <w:rsid w:val="00264FFF"/>
    <w:rsid w:val="002669CF"/>
    <w:rsid w:val="002738E4"/>
    <w:rsid w:val="00274744"/>
    <w:rsid w:val="00276278"/>
    <w:rsid w:val="00281A0D"/>
    <w:rsid w:val="00281BA6"/>
    <w:rsid w:val="00282E04"/>
    <w:rsid w:val="00282ECC"/>
    <w:rsid w:val="00284DCF"/>
    <w:rsid w:val="00287193"/>
    <w:rsid w:val="00291D5A"/>
    <w:rsid w:val="00294A47"/>
    <w:rsid w:val="00295735"/>
    <w:rsid w:val="00295AB1"/>
    <w:rsid w:val="002A0A7C"/>
    <w:rsid w:val="002A1826"/>
    <w:rsid w:val="002A4813"/>
    <w:rsid w:val="002A598B"/>
    <w:rsid w:val="002A6D7A"/>
    <w:rsid w:val="002B1264"/>
    <w:rsid w:val="002B18D8"/>
    <w:rsid w:val="002B6BE3"/>
    <w:rsid w:val="002B6ED1"/>
    <w:rsid w:val="002B786D"/>
    <w:rsid w:val="002C21EA"/>
    <w:rsid w:val="002C422B"/>
    <w:rsid w:val="002D4433"/>
    <w:rsid w:val="002D4698"/>
    <w:rsid w:val="002D7FF7"/>
    <w:rsid w:val="002E056B"/>
    <w:rsid w:val="002E4C33"/>
    <w:rsid w:val="002E5B71"/>
    <w:rsid w:val="002E6E53"/>
    <w:rsid w:val="002E70D6"/>
    <w:rsid w:val="002E7166"/>
    <w:rsid w:val="002F405E"/>
    <w:rsid w:val="00301B60"/>
    <w:rsid w:val="00305FA9"/>
    <w:rsid w:val="0030762E"/>
    <w:rsid w:val="00310085"/>
    <w:rsid w:val="00315569"/>
    <w:rsid w:val="00315A76"/>
    <w:rsid w:val="00320B0A"/>
    <w:rsid w:val="00321A5A"/>
    <w:rsid w:val="003236BC"/>
    <w:rsid w:val="00325F38"/>
    <w:rsid w:val="00332FFD"/>
    <w:rsid w:val="00336A0A"/>
    <w:rsid w:val="00337963"/>
    <w:rsid w:val="00342A40"/>
    <w:rsid w:val="003440D1"/>
    <w:rsid w:val="003452E8"/>
    <w:rsid w:val="003459A1"/>
    <w:rsid w:val="00352798"/>
    <w:rsid w:val="00353DE0"/>
    <w:rsid w:val="00356E1F"/>
    <w:rsid w:val="00357F64"/>
    <w:rsid w:val="003633B0"/>
    <w:rsid w:val="00366051"/>
    <w:rsid w:val="003702E3"/>
    <w:rsid w:val="00370E5C"/>
    <w:rsid w:val="00370EF0"/>
    <w:rsid w:val="003750A6"/>
    <w:rsid w:val="003754E5"/>
    <w:rsid w:val="00375F2E"/>
    <w:rsid w:val="00376145"/>
    <w:rsid w:val="00381B15"/>
    <w:rsid w:val="003824E8"/>
    <w:rsid w:val="00382B3D"/>
    <w:rsid w:val="00386D06"/>
    <w:rsid w:val="00387F20"/>
    <w:rsid w:val="003916E3"/>
    <w:rsid w:val="0039212B"/>
    <w:rsid w:val="003931CB"/>
    <w:rsid w:val="003958B8"/>
    <w:rsid w:val="00396506"/>
    <w:rsid w:val="00396F01"/>
    <w:rsid w:val="0039713C"/>
    <w:rsid w:val="00397788"/>
    <w:rsid w:val="003B2589"/>
    <w:rsid w:val="003B75F6"/>
    <w:rsid w:val="003C0D3B"/>
    <w:rsid w:val="003C6B45"/>
    <w:rsid w:val="003D11DC"/>
    <w:rsid w:val="003D574C"/>
    <w:rsid w:val="003D67DE"/>
    <w:rsid w:val="003D79CC"/>
    <w:rsid w:val="003E4BB7"/>
    <w:rsid w:val="003E67EC"/>
    <w:rsid w:val="003E7EBC"/>
    <w:rsid w:val="003F11E3"/>
    <w:rsid w:val="003F373F"/>
    <w:rsid w:val="003F53B5"/>
    <w:rsid w:val="003F7BE4"/>
    <w:rsid w:val="00401005"/>
    <w:rsid w:val="00401F0B"/>
    <w:rsid w:val="00403058"/>
    <w:rsid w:val="00403DD1"/>
    <w:rsid w:val="00407B27"/>
    <w:rsid w:val="00412047"/>
    <w:rsid w:val="00412ABE"/>
    <w:rsid w:val="00412CA4"/>
    <w:rsid w:val="00416D57"/>
    <w:rsid w:val="00416EF9"/>
    <w:rsid w:val="004174BE"/>
    <w:rsid w:val="00417CBD"/>
    <w:rsid w:val="004213C8"/>
    <w:rsid w:val="00421AC5"/>
    <w:rsid w:val="00424733"/>
    <w:rsid w:val="00425A03"/>
    <w:rsid w:val="004303AE"/>
    <w:rsid w:val="00431016"/>
    <w:rsid w:val="004315A0"/>
    <w:rsid w:val="00435586"/>
    <w:rsid w:val="00436960"/>
    <w:rsid w:val="00436FEA"/>
    <w:rsid w:val="004400FC"/>
    <w:rsid w:val="00441100"/>
    <w:rsid w:val="0044431B"/>
    <w:rsid w:val="00447375"/>
    <w:rsid w:val="004515B4"/>
    <w:rsid w:val="0045513D"/>
    <w:rsid w:val="004566F3"/>
    <w:rsid w:val="00457085"/>
    <w:rsid w:val="00457524"/>
    <w:rsid w:val="00463A17"/>
    <w:rsid w:val="00465317"/>
    <w:rsid w:val="004662AE"/>
    <w:rsid w:val="004703C8"/>
    <w:rsid w:val="0047500F"/>
    <w:rsid w:val="00480D86"/>
    <w:rsid w:val="0048171B"/>
    <w:rsid w:val="00481AD1"/>
    <w:rsid w:val="00482065"/>
    <w:rsid w:val="00486182"/>
    <w:rsid w:val="0048747C"/>
    <w:rsid w:val="004910E9"/>
    <w:rsid w:val="00492E29"/>
    <w:rsid w:val="004942E3"/>
    <w:rsid w:val="00494A46"/>
    <w:rsid w:val="00494C3D"/>
    <w:rsid w:val="00496D60"/>
    <w:rsid w:val="00497F00"/>
    <w:rsid w:val="004A26B9"/>
    <w:rsid w:val="004A743D"/>
    <w:rsid w:val="004B1152"/>
    <w:rsid w:val="004B1605"/>
    <w:rsid w:val="004B26AE"/>
    <w:rsid w:val="004B411C"/>
    <w:rsid w:val="004B45EF"/>
    <w:rsid w:val="004B4AA0"/>
    <w:rsid w:val="004B4C5D"/>
    <w:rsid w:val="004B6589"/>
    <w:rsid w:val="004C2667"/>
    <w:rsid w:val="004C2AD3"/>
    <w:rsid w:val="004C2BA7"/>
    <w:rsid w:val="004C4296"/>
    <w:rsid w:val="004C5431"/>
    <w:rsid w:val="004D348F"/>
    <w:rsid w:val="004D388F"/>
    <w:rsid w:val="004D4E7F"/>
    <w:rsid w:val="004D511A"/>
    <w:rsid w:val="004D7D59"/>
    <w:rsid w:val="004E0414"/>
    <w:rsid w:val="004E2388"/>
    <w:rsid w:val="004E3F4C"/>
    <w:rsid w:val="004E4BD7"/>
    <w:rsid w:val="004E64AC"/>
    <w:rsid w:val="004F3910"/>
    <w:rsid w:val="004F3F6F"/>
    <w:rsid w:val="004F4A8F"/>
    <w:rsid w:val="004F6563"/>
    <w:rsid w:val="004F797B"/>
    <w:rsid w:val="00500E52"/>
    <w:rsid w:val="005049DB"/>
    <w:rsid w:val="00504F8D"/>
    <w:rsid w:val="00512884"/>
    <w:rsid w:val="00512CB3"/>
    <w:rsid w:val="00514749"/>
    <w:rsid w:val="00516A03"/>
    <w:rsid w:val="00516D83"/>
    <w:rsid w:val="005218A9"/>
    <w:rsid w:val="00522DAA"/>
    <w:rsid w:val="00523842"/>
    <w:rsid w:val="005241F9"/>
    <w:rsid w:val="005303FA"/>
    <w:rsid w:val="005344A7"/>
    <w:rsid w:val="005345F2"/>
    <w:rsid w:val="005347FE"/>
    <w:rsid w:val="00534B85"/>
    <w:rsid w:val="00537EAD"/>
    <w:rsid w:val="00542F3A"/>
    <w:rsid w:val="005439AB"/>
    <w:rsid w:val="00547EF2"/>
    <w:rsid w:val="00555DEA"/>
    <w:rsid w:val="00561A96"/>
    <w:rsid w:val="00561B15"/>
    <w:rsid w:val="005623DF"/>
    <w:rsid w:val="005633B8"/>
    <w:rsid w:val="00563592"/>
    <w:rsid w:val="0056719D"/>
    <w:rsid w:val="00571780"/>
    <w:rsid w:val="0057523C"/>
    <w:rsid w:val="00580EAB"/>
    <w:rsid w:val="00581189"/>
    <w:rsid w:val="00582751"/>
    <w:rsid w:val="0059457A"/>
    <w:rsid w:val="00595961"/>
    <w:rsid w:val="005A22DD"/>
    <w:rsid w:val="005A414B"/>
    <w:rsid w:val="005B0070"/>
    <w:rsid w:val="005B4481"/>
    <w:rsid w:val="005C5AB4"/>
    <w:rsid w:val="005C6074"/>
    <w:rsid w:val="005C782C"/>
    <w:rsid w:val="005C7D73"/>
    <w:rsid w:val="005D039F"/>
    <w:rsid w:val="005D0DE6"/>
    <w:rsid w:val="005D1884"/>
    <w:rsid w:val="005D56D0"/>
    <w:rsid w:val="005D622E"/>
    <w:rsid w:val="005E0E55"/>
    <w:rsid w:val="005E4989"/>
    <w:rsid w:val="005E53EA"/>
    <w:rsid w:val="005E79A5"/>
    <w:rsid w:val="005F0724"/>
    <w:rsid w:val="005F1D58"/>
    <w:rsid w:val="005F288F"/>
    <w:rsid w:val="005F6744"/>
    <w:rsid w:val="006012D4"/>
    <w:rsid w:val="0060344B"/>
    <w:rsid w:val="00604955"/>
    <w:rsid w:val="00606C82"/>
    <w:rsid w:val="00607433"/>
    <w:rsid w:val="006103B4"/>
    <w:rsid w:val="006106CA"/>
    <w:rsid w:val="00613139"/>
    <w:rsid w:val="006139BE"/>
    <w:rsid w:val="00614465"/>
    <w:rsid w:val="0061702B"/>
    <w:rsid w:val="006173B4"/>
    <w:rsid w:val="00617EE9"/>
    <w:rsid w:val="00620D79"/>
    <w:rsid w:val="00620DA8"/>
    <w:rsid w:val="006227A4"/>
    <w:rsid w:val="0062549F"/>
    <w:rsid w:val="006265FB"/>
    <w:rsid w:val="00626CE7"/>
    <w:rsid w:val="00627C1C"/>
    <w:rsid w:val="00630C69"/>
    <w:rsid w:val="0063658C"/>
    <w:rsid w:val="006371A7"/>
    <w:rsid w:val="0064136D"/>
    <w:rsid w:val="00646990"/>
    <w:rsid w:val="006477F2"/>
    <w:rsid w:val="00651E6F"/>
    <w:rsid w:val="00655814"/>
    <w:rsid w:val="0065647A"/>
    <w:rsid w:val="0066363D"/>
    <w:rsid w:val="00663A3F"/>
    <w:rsid w:val="00671F2C"/>
    <w:rsid w:val="0067797F"/>
    <w:rsid w:val="00680DD5"/>
    <w:rsid w:val="006810AC"/>
    <w:rsid w:val="00683AB4"/>
    <w:rsid w:val="0068443B"/>
    <w:rsid w:val="00687AFF"/>
    <w:rsid w:val="0069370F"/>
    <w:rsid w:val="0069450E"/>
    <w:rsid w:val="006A4D2E"/>
    <w:rsid w:val="006A6D9C"/>
    <w:rsid w:val="006A6DC8"/>
    <w:rsid w:val="006B14DD"/>
    <w:rsid w:val="006B2225"/>
    <w:rsid w:val="006B25EF"/>
    <w:rsid w:val="006B6F37"/>
    <w:rsid w:val="006B7330"/>
    <w:rsid w:val="006C3F09"/>
    <w:rsid w:val="006C6D03"/>
    <w:rsid w:val="006C6D93"/>
    <w:rsid w:val="006C7B2A"/>
    <w:rsid w:val="006D235A"/>
    <w:rsid w:val="006D2D74"/>
    <w:rsid w:val="006D4C81"/>
    <w:rsid w:val="006D6E82"/>
    <w:rsid w:val="006E1544"/>
    <w:rsid w:val="006E1878"/>
    <w:rsid w:val="006E2A97"/>
    <w:rsid w:val="006E2CCB"/>
    <w:rsid w:val="006E2E77"/>
    <w:rsid w:val="006E3B7E"/>
    <w:rsid w:val="006E3D76"/>
    <w:rsid w:val="006E53DB"/>
    <w:rsid w:val="006E5790"/>
    <w:rsid w:val="006F147C"/>
    <w:rsid w:val="006F23F5"/>
    <w:rsid w:val="006F7BB1"/>
    <w:rsid w:val="00700121"/>
    <w:rsid w:val="007027E3"/>
    <w:rsid w:val="00702F6A"/>
    <w:rsid w:val="0070391C"/>
    <w:rsid w:val="00704174"/>
    <w:rsid w:val="00704DCF"/>
    <w:rsid w:val="00705448"/>
    <w:rsid w:val="00705FAD"/>
    <w:rsid w:val="00707EB5"/>
    <w:rsid w:val="00714461"/>
    <w:rsid w:val="00715F08"/>
    <w:rsid w:val="00716A09"/>
    <w:rsid w:val="00716EBB"/>
    <w:rsid w:val="00717BEC"/>
    <w:rsid w:val="00717DB0"/>
    <w:rsid w:val="00717F1A"/>
    <w:rsid w:val="00720325"/>
    <w:rsid w:val="00720AE8"/>
    <w:rsid w:val="00721B62"/>
    <w:rsid w:val="007221BC"/>
    <w:rsid w:val="00724824"/>
    <w:rsid w:val="00724E05"/>
    <w:rsid w:val="00726061"/>
    <w:rsid w:val="00727052"/>
    <w:rsid w:val="00727C7D"/>
    <w:rsid w:val="00730285"/>
    <w:rsid w:val="007309AC"/>
    <w:rsid w:val="00731BB3"/>
    <w:rsid w:val="00731FE0"/>
    <w:rsid w:val="00732AA6"/>
    <w:rsid w:val="0074021A"/>
    <w:rsid w:val="00742050"/>
    <w:rsid w:val="007425C7"/>
    <w:rsid w:val="00746E7C"/>
    <w:rsid w:val="00750312"/>
    <w:rsid w:val="007520E1"/>
    <w:rsid w:val="0075487A"/>
    <w:rsid w:val="00756C74"/>
    <w:rsid w:val="00756D77"/>
    <w:rsid w:val="007570BE"/>
    <w:rsid w:val="007620A5"/>
    <w:rsid w:val="00762D17"/>
    <w:rsid w:val="00763D3C"/>
    <w:rsid w:val="007644F6"/>
    <w:rsid w:val="007661BE"/>
    <w:rsid w:val="00766FA7"/>
    <w:rsid w:val="00771323"/>
    <w:rsid w:val="00773C38"/>
    <w:rsid w:val="00777FC9"/>
    <w:rsid w:val="00781414"/>
    <w:rsid w:val="00781CD2"/>
    <w:rsid w:val="00783347"/>
    <w:rsid w:val="00785DAB"/>
    <w:rsid w:val="00787109"/>
    <w:rsid w:val="007914D6"/>
    <w:rsid w:val="00791DD3"/>
    <w:rsid w:val="00795403"/>
    <w:rsid w:val="007960A7"/>
    <w:rsid w:val="0079787D"/>
    <w:rsid w:val="007A076D"/>
    <w:rsid w:val="007A1FDA"/>
    <w:rsid w:val="007A3623"/>
    <w:rsid w:val="007A50CE"/>
    <w:rsid w:val="007A614E"/>
    <w:rsid w:val="007B67FC"/>
    <w:rsid w:val="007C1346"/>
    <w:rsid w:val="007C31A1"/>
    <w:rsid w:val="007C4DF8"/>
    <w:rsid w:val="007C5C99"/>
    <w:rsid w:val="007C64F0"/>
    <w:rsid w:val="007D0402"/>
    <w:rsid w:val="007D2119"/>
    <w:rsid w:val="007D331A"/>
    <w:rsid w:val="007D6086"/>
    <w:rsid w:val="007E08D6"/>
    <w:rsid w:val="007E164C"/>
    <w:rsid w:val="007E18D9"/>
    <w:rsid w:val="007E3050"/>
    <w:rsid w:val="007E75C5"/>
    <w:rsid w:val="007F3068"/>
    <w:rsid w:val="007F3248"/>
    <w:rsid w:val="007F5F02"/>
    <w:rsid w:val="00800FF9"/>
    <w:rsid w:val="00802DFB"/>
    <w:rsid w:val="0080498E"/>
    <w:rsid w:val="00806602"/>
    <w:rsid w:val="0081430D"/>
    <w:rsid w:val="00815610"/>
    <w:rsid w:val="00815B41"/>
    <w:rsid w:val="0081752E"/>
    <w:rsid w:val="008178BA"/>
    <w:rsid w:val="00817C1E"/>
    <w:rsid w:val="0082299B"/>
    <w:rsid w:val="00823C15"/>
    <w:rsid w:val="00825A62"/>
    <w:rsid w:val="00827AFA"/>
    <w:rsid w:val="00830785"/>
    <w:rsid w:val="008309C0"/>
    <w:rsid w:val="008327AD"/>
    <w:rsid w:val="008332ED"/>
    <w:rsid w:val="0083444D"/>
    <w:rsid w:val="00835411"/>
    <w:rsid w:val="00835964"/>
    <w:rsid w:val="00836A26"/>
    <w:rsid w:val="00836DA5"/>
    <w:rsid w:val="0083726C"/>
    <w:rsid w:val="00844E49"/>
    <w:rsid w:val="00847E8B"/>
    <w:rsid w:val="0085133C"/>
    <w:rsid w:val="00854925"/>
    <w:rsid w:val="0085722D"/>
    <w:rsid w:val="008573BB"/>
    <w:rsid w:val="00860CDC"/>
    <w:rsid w:val="00861623"/>
    <w:rsid w:val="00861790"/>
    <w:rsid w:val="00865236"/>
    <w:rsid w:val="00865EB4"/>
    <w:rsid w:val="00870BDA"/>
    <w:rsid w:val="00871511"/>
    <w:rsid w:val="0087773A"/>
    <w:rsid w:val="00881139"/>
    <w:rsid w:val="00882615"/>
    <w:rsid w:val="00882919"/>
    <w:rsid w:val="00885488"/>
    <w:rsid w:val="00887248"/>
    <w:rsid w:val="00890D49"/>
    <w:rsid w:val="0089134D"/>
    <w:rsid w:val="00894723"/>
    <w:rsid w:val="00895E22"/>
    <w:rsid w:val="008A1541"/>
    <w:rsid w:val="008A74B4"/>
    <w:rsid w:val="008A75BC"/>
    <w:rsid w:val="008B1A2F"/>
    <w:rsid w:val="008B3ABB"/>
    <w:rsid w:val="008B45FF"/>
    <w:rsid w:val="008B4D2F"/>
    <w:rsid w:val="008B5618"/>
    <w:rsid w:val="008B5A7C"/>
    <w:rsid w:val="008C2DFC"/>
    <w:rsid w:val="008C2F37"/>
    <w:rsid w:val="008C3AB6"/>
    <w:rsid w:val="008C50A0"/>
    <w:rsid w:val="008C59BB"/>
    <w:rsid w:val="008C6A47"/>
    <w:rsid w:val="008D19A8"/>
    <w:rsid w:val="008D33DF"/>
    <w:rsid w:val="008D74AD"/>
    <w:rsid w:val="008E178A"/>
    <w:rsid w:val="008E31CD"/>
    <w:rsid w:val="008E569C"/>
    <w:rsid w:val="008E6861"/>
    <w:rsid w:val="008E7F79"/>
    <w:rsid w:val="008F082E"/>
    <w:rsid w:val="008F0E25"/>
    <w:rsid w:val="008F2642"/>
    <w:rsid w:val="008F69E4"/>
    <w:rsid w:val="00900B32"/>
    <w:rsid w:val="009048C4"/>
    <w:rsid w:val="00905C8D"/>
    <w:rsid w:val="00907968"/>
    <w:rsid w:val="0091044C"/>
    <w:rsid w:val="00910C9B"/>
    <w:rsid w:val="00912148"/>
    <w:rsid w:val="00914CDF"/>
    <w:rsid w:val="00924E0F"/>
    <w:rsid w:val="00924E79"/>
    <w:rsid w:val="0092552A"/>
    <w:rsid w:val="0092606E"/>
    <w:rsid w:val="009262BB"/>
    <w:rsid w:val="00926DCA"/>
    <w:rsid w:val="00927DCD"/>
    <w:rsid w:val="0093180E"/>
    <w:rsid w:val="00932393"/>
    <w:rsid w:val="00941E9C"/>
    <w:rsid w:val="00944FF1"/>
    <w:rsid w:val="009516C7"/>
    <w:rsid w:val="0096161E"/>
    <w:rsid w:val="00962AD9"/>
    <w:rsid w:val="00963191"/>
    <w:rsid w:val="00963E88"/>
    <w:rsid w:val="009640FC"/>
    <w:rsid w:val="009704B2"/>
    <w:rsid w:val="009725D5"/>
    <w:rsid w:val="00973A49"/>
    <w:rsid w:val="009741F8"/>
    <w:rsid w:val="00976891"/>
    <w:rsid w:val="009909FF"/>
    <w:rsid w:val="009916DE"/>
    <w:rsid w:val="00992843"/>
    <w:rsid w:val="00992970"/>
    <w:rsid w:val="00992F90"/>
    <w:rsid w:val="00993EEF"/>
    <w:rsid w:val="00995D57"/>
    <w:rsid w:val="009A18F1"/>
    <w:rsid w:val="009A2CBD"/>
    <w:rsid w:val="009A2FEE"/>
    <w:rsid w:val="009B475B"/>
    <w:rsid w:val="009B5916"/>
    <w:rsid w:val="009B65BF"/>
    <w:rsid w:val="009B7407"/>
    <w:rsid w:val="009B7D86"/>
    <w:rsid w:val="009C080A"/>
    <w:rsid w:val="009C56B2"/>
    <w:rsid w:val="009D1543"/>
    <w:rsid w:val="009D6DE4"/>
    <w:rsid w:val="009E25E4"/>
    <w:rsid w:val="009E3E0C"/>
    <w:rsid w:val="009E473E"/>
    <w:rsid w:val="009F029C"/>
    <w:rsid w:val="009F33B0"/>
    <w:rsid w:val="00A01CE9"/>
    <w:rsid w:val="00A03DAE"/>
    <w:rsid w:val="00A046E3"/>
    <w:rsid w:val="00A06E2A"/>
    <w:rsid w:val="00A101A7"/>
    <w:rsid w:val="00A11965"/>
    <w:rsid w:val="00A12C09"/>
    <w:rsid w:val="00A1317C"/>
    <w:rsid w:val="00A1561E"/>
    <w:rsid w:val="00A16001"/>
    <w:rsid w:val="00A16E5E"/>
    <w:rsid w:val="00A17DDD"/>
    <w:rsid w:val="00A2080E"/>
    <w:rsid w:val="00A215FE"/>
    <w:rsid w:val="00A247BD"/>
    <w:rsid w:val="00A254C9"/>
    <w:rsid w:val="00A26A43"/>
    <w:rsid w:val="00A34302"/>
    <w:rsid w:val="00A36097"/>
    <w:rsid w:val="00A36A59"/>
    <w:rsid w:val="00A36F4C"/>
    <w:rsid w:val="00A407F8"/>
    <w:rsid w:val="00A40C85"/>
    <w:rsid w:val="00A42C51"/>
    <w:rsid w:val="00A43341"/>
    <w:rsid w:val="00A532E7"/>
    <w:rsid w:val="00A541C1"/>
    <w:rsid w:val="00A54900"/>
    <w:rsid w:val="00A613D8"/>
    <w:rsid w:val="00A616D2"/>
    <w:rsid w:val="00A62A18"/>
    <w:rsid w:val="00A67DA2"/>
    <w:rsid w:val="00A72505"/>
    <w:rsid w:val="00A73B1F"/>
    <w:rsid w:val="00A73E36"/>
    <w:rsid w:val="00A7474F"/>
    <w:rsid w:val="00A80504"/>
    <w:rsid w:val="00A875A0"/>
    <w:rsid w:val="00A9048B"/>
    <w:rsid w:val="00A947A6"/>
    <w:rsid w:val="00A94EFC"/>
    <w:rsid w:val="00A955FA"/>
    <w:rsid w:val="00A9762E"/>
    <w:rsid w:val="00A979E8"/>
    <w:rsid w:val="00AA0B7E"/>
    <w:rsid w:val="00AA502E"/>
    <w:rsid w:val="00AB1CF3"/>
    <w:rsid w:val="00AB3366"/>
    <w:rsid w:val="00AC0893"/>
    <w:rsid w:val="00AC4DA0"/>
    <w:rsid w:val="00AC68E7"/>
    <w:rsid w:val="00AD056E"/>
    <w:rsid w:val="00AD4284"/>
    <w:rsid w:val="00AE029E"/>
    <w:rsid w:val="00AE576B"/>
    <w:rsid w:val="00AE752E"/>
    <w:rsid w:val="00AF0562"/>
    <w:rsid w:val="00AF2ADB"/>
    <w:rsid w:val="00AF32FE"/>
    <w:rsid w:val="00AF35B4"/>
    <w:rsid w:val="00AF56AF"/>
    <w:rsid w:val="00B0062A"/>
    <w:rsid w:val="00B029B3"/>
    <w:rsid w:val="00B0449D"/>
    <w:rsid w:val="00B0574D"/>
    <w:rsid w:val="00B1030E"/>
    <w:rsid w:val="00B1158B"/>
    <w:rsid w:val="00B15E43"/>
    <w:rsid w:val="00B17C69"/>
    <w:rsid w:val="00B215C5"/>
    <w:rsid w:val="00B216C8"/>
    <w:rsid w:val="00B217BF"/>
    <w:rsid w:val="00B22BA5"/>
    <w:rsid w:val="00B234D7"/>
    <w:rsid w:val="00B24144"/>
    <w:rsid w:val="00B30493"/>
    <w:rsid w:val="00B3169C"/>
    <w:rsid w:val="00B316AD"/>
    <w:rsid w:val="00B318FF"/>
    <w:rsid w:val="00B321E3"/>
    <w:rsid w:val="00B331ED"/>
    <w:rsid w:val="00B34033"/>
    <w:rsid w:val="00B3482B"/>
    <w:rsid w:val="00B4140E"/>
    <w:rsid w:val="00B4379A"/>
    <w:rsid w:val="00B44354"/>
    <w:rsid w:val="00B46573"/>
    <w:rsid w:val="00B46705"/>
    <w:rsid w:val="00B5060C"/>
    <w:rsid w:val="00B52844"/>
    <w:rsid w:val="00B56958"/>
    <w:rsid w:val="00B57261"/>
    <w:rsid w:val="00B617A3"/>
    <w:rsid w:val="00B61E0C"/>
    <w:rsid w:val="00B62977"/>
    <w:rsid w:val="00B63587"/>
    <w:rsid w:val="00B63EDB"/>
    <w:rsid w:val="00B70561"/>
    <w:rsid w:val="00B70746"/>
    <w:rsid w:val="00B708B0"/>
    <w:rsid w:val="00B72FAC"/>
    <w:rsid w:val="00B75D20"/>
    <w:rsid w:val="00B76ACF"/>
    <w:rsid w:val="00B76F67"/>
    <w:rsid w:val="00B77389"/>
    <w:rsid w:val="00B77B1C"/>
    <w:rsid w:val="00B81B2F"/>
    <w:rsid w:val="00B85290"/>
    <w:rsid w:val="00B85CC3"/>
    <w:rsid w:val="00B86A64"/>
    <w:rsid w:val="00B8784E"/>
    <w:rsid w:val="00B9125E"/>
    <w:rsid w:val="00B93785"/>
    <w:rsid w:val="00B978DE"/>
    <w:rsid w:val="00BA0BA7"/>
    <w:rsid w:val="00BA0C31"/>
    <w:rsid w:val="00BA1A19"/>
    <w:rsid w:val="00BA597A"/>
    <w:rsid w:val="00BA6545"/>
    <w:rsid w:val="00BA7DC6"/>
    <w:rsid w:val="00BB0860"/>
    <w:rsid w:val="00BB0D88"/>
    <w:rsid w:val="00BB2377"/>
    <w:rsid w:val="00BB38A9"/>
    <w:rsid w:val="00BC033C"/>
    <w:rsid w:val="00BC5E1B"/>
    <w:rsid w:val="00BD32AA"/>
    <w:rsid w:val="00BD41FD"/>
    <w:rsid w:val="00BD7043"/>
    <w:rsid w:val="00BE13C1"/>
    <w:rsid w:val="00BE1470"/>
    <w:rsid w:val="00BE29E9"/>
    <w:rsid w:val="00BE35CC"/>
    <w:rsid w:val="00BE42B1"/>
    <w:rsid w:val="00BE54F5"/>
    <w:rsid w:val="00BE598F"/>
    <w:rsid w:val="00BF0F9E"/>
    <w:rsid w:val="00BF27CF"/>
    <w:rsid w:val="00BF3DB1"/>
    <w:rsid w:val="00BF4C85"/>
    <w:rsid w:val="00BF51A1"/>
    <w:rsid w:val="00C015B2"/>
    <w:rsid w:val="00C064BF"/>
    <w:rsid w:val="00C07C60"/>
    <w:rsid w:val="00C13016"/>
    <w:rsid w:val="00C147A7"/>
    <w:rsid w:val="00C1515D"/>
    <w:rsid w:val="00C17F4A"/>
    <w:rsid w:val="00C2110A"/>
    <w:rsid w:val="00C2441D"/>
    <w:rsid w:val="00C24DA1"/>
    <w:rsid w:val="00C27909"/>
    <w:rsid w:val="00C32FCE"/>
    <w:rsid w:val="00C34229"/>
    <w:rsid w:val="00C36CD8"/>
    <w:rsid w:val="00C46728"/>
    <w:rsid w:val="00C46A6B"/>
    <w:rsid w:val="00C51D28"/>
    <w:rsid w:val="00C520DC"/>
    <w:rsid w:val="00C52CDB"/>
    <w:rsid w:val="00C54555"/>
    <w:rsid w:val="00C5528B"/>
    <w:rsid w:val="00C6150C"/>
    <w:rsid w:val="00C658A8"/>
    <w:rsid w:val="00C71BAA"/>
    <w:rsid w:val="00C71C2F"/>
    <w:rsid w:val="00C7341D"/>
    <w:rsid w:val="00C7363D"/>
    <w:rsid w:val="00C7669F"/>
    <w:rsid w:val="00C833C6"/>
    <w:rsid w:val="00C856CA"/>
    <w:rsid w:val="00C866C9"/>
    <w:rsid w:val="00C93917"/>
    <w:rsid w:val="00C95C72"/>
    <w:rsid w:val="00C96A97"/>
    <w:rsid w:val="00C970CF"/>
    <w:rsid w:val="00CA2A96"/>
    <w:rsid w:val="00CA2AE0"/>
    <w:rsid w:val="00CA3D0E"/>
    <w:rsid w:val="00CA5269"/>
    <w:rsid w:val="00CA5ED6"/>
    <w:rsid w:val="00CA761D"/>
    <w:rsid w:val="00CA793A"/>
    <w:rsid w:val="00CB071F"/>
    <w:rsid w:val="00CB1FC2"/>
    <w:rsid w:val="00CB2D9E"/>
    <w:rsid w:val="00CC23B4"/>
    <w:rsid w:val="00CC2F9D"/>
    <w:rsid w:val="00CC769F"/>
    <w:rsid w:val="00CD04B8"/>
    <w:rsid w:val="00CD07EB"/>
    <w:rsid w:val="00CD3B91"/>
    <w:rsid w:val="00CE01E3"/>
    <w:rsid w:val="00CE4BEB"/>
    <w:rsid w:val="00CE6E3A"/>
    <w:rsid w:val="00CE6EEA"/>
    <w:rsid w:val="00CF02D1"/>
    <w:rsid w:val="00CF3AD7"/>
    <w:rsid w:val="00CF4F18"/>
    <w:rsid w:val="00D040A5"/>
    <w:rsid w:val="00D06925"/>
    <w:rsid w:val="00D116E9"/>
    <w:rsid w:val="00D164C4"/>
    <w:rsid w:val="00D169A4"/>
    <w:rsid w:val="00D16F82"/>
    <w:rsid w:val="00D17F6F"/>
    <w:rsid w:val="00D3002A"/>
    <w:rsid w:val="00D34697"/>
    <w:rsid w:val="00D34B9A"/>
    <w:rsid w:val="00D37FCB"/>
    <w:rsid w:val="00D41780"/>
    <w:rsid w:val="00D423D4"/>
    <w:rsid w:val="00D455DB"/>
    <w:rsid w:val="00D501A8"/>
    <w:rsid w:val="00D5337C"/>
    <w:rsid w:val="00D54B60"/>
    <w:rsid w:val="00D569B8"/>
    <w:rsid w:val="00D57E29"/>
    <w:rsid w:val="00D6332C"/>
    <w:rsid w:val="00D63378"/>
    <w:rsid w:val="00D6467A"/>
    <w:rsid w:val="00D647DE"/>
    <w:rsid w:val="00D65A68"/>
    <w:rsid w:val="00D66E5B"/>
    <w:rsid w:val="00D70D12"/>
    <w:rsid w:val="00D719DC"/>
    <w:rsid w:val="00D7419C"/>
    <w:rsid w:val="00D74A49"/>
    <w:rsid w:val="00D75F74"/>
    <w:rsid w:val="00D80F7E"/>
    <w:rsid w:val="00D83390"/>
    <w:rsid w:val="00D9069E"/>
    <w:rsid w:val="00D91BDD"/>
    <w:rsid w:val="00D96CD4"/>
    <w:rsid w:val="00DA113D"/>
    <w:rsid w:val="00DA35AC"/>
    <w:rsid w:val="00DA5592"/>
    <w:rsid w:val="00DA681F"/>
    <w:rsid w:val="00DB118D"/>
    <w:rsid w:val="00DB1F6C"/>
    <w:rsid w:val="00DB27D7"/>
    <w:rsid w:val="00DB6994"/>
    <w:rsid w:val="00DB7183"/>
    <w:rsid w:val="00DB7C2F"/>
    <w:rsid w:val="00DC1255"/>
    <w:rsid w:val="00DC27F3"/>
    <w:rsid w:val="00DC627A"/>
    <w:rsid w:val="00DD0C83"/>
    <w:rsid w:val="00DD1AB3"/>
    <w:rsid w:val="00DD5357"/>
    <w:rsid w:val="00DD78EE"/>
    <w:rsid w:val="00DE15BB"/>
    <w:rsid w:val="00DE22BD"/>
    <w:rsid w:val="00DE3755"/>
    <w:rsid w:val="00DE64AB"/>
    <w:rsid w:val="00DF2244"/>
    <w:rsid w:val="00DF35CD"/>
    <w:rsid w:val="00DF5759"/>
    <w:rsid w:val="00DF585E"/>
    <w:rsid w:val="00DF5E49"/>
    <w:rsid w:val="00E00F91"/>
    <w:rsid w:val="00E05DB2"/>
    <w:rsid w:val="00E0743D"/>
    <w:rsid w:val="00E11F97"/>
    <w:rsid w:val="00E143BE"/>
    <w:rsid w:val="00E16585"/>
    <w:rsid w:val="00E20D0B"/>
    <w:rsid w:val="00E21729"/>
    <w:rsid w:val="00E21D31"/>
    <w:rsid w:val="00E22E01"/>
    <w:rsid w:val="00E245BD"/>
    <w:rsid w:val="00E25E4A"/>
    <w:rsid w:val="00E26780"/>
    <w:rsid w:val="00E27436"/>
    <w:rsid w:val="00E32AF4"/>
    <w:rsid w:val="00E32F58"/>
    <w:rsid w:val="00E33DF2"/>
    <w:rsid w:val="00E34051"/>
    <w:rsid w:val="00E3566B"/>
    <w:rsid w:val="00E359B7"/>
    <w:rsid w:val="00E367D9"/>
    <w:rsid w:val="00E41FDF"/>
    <w:rsid w:val="00E42B64"/>
    <w:rsid w:val="00E4508F"/>
    <w:rsid w:val="00E475E9"/>
    <w:rsid w:val="00E5281A"/>
    <w:rsid w:val="00E52929"/>
    <w:rsid w:val="00E5421F"/>
    <w:rsid w:val="00E61EBA"/>
    <w:rsid w:val="00E62F7F"/>
    <w:rsid w:val="00E638C5"/>
    <w:rsid w:val="00E6678B"/>
    <w:rsid w:val="00E669CF"/>
    <w:rsid w:val="00E72D0E"/>
    <w:rsid w:val="00E8032A"/>
    <w:rsid w:val="00E83AA7"/>
    <w:rsid w:val="00E86C71"/>
    <w:rsid w:val="00E875B2"/>
    <w:rsid w:val="00E908E3"/>
    <w:rsid w:val="00E924B5"/>
    <w:rsid w:val="00E93447"/>
    <w:rsid w:val="00EA0DAF"/>
    <w:rsid w:val="00EA3B6A"/>
    <w:rsid w:val="00EA77B8"/>
    <w:rsid w:val="00EB2006"/>
    <w:rsid w:val="00EB4416"/>
    <w:rsid w:val="00EB6F77"/>
    <w:rsid w:val="00EC24AA"/>
    <w:rsid w:val="00EC4AD7"/>
    <w:rsid w:val="00EC6E3C"/>
    <w:rsid w:val="00ED027C"/>
    <w:rsid w:val="00ED3570"/>
    <w:rsid w:val="00ED4F75"/>
    <w:rsid w:val="00ED7196"/>
    <w:rsid w:val="00ED75B9"/>
    <w:rsid w:val="00EE1339"/>
    <w:rsid w:val="00EE26EE"/>
    <w:rsid w:val="00EE4461"/>
    <w:rsid w:val="00EE5580"/>
    <w:rsid w:val="00EE575C"/>
    <w:rsid w:val="00EE57FF"/>
    <w:rsid w:val="00EE6CFC"/>
    <w:rsid w:val="00EE7459"/>
    <w:rsid w:val="00EE77A7"/>
    <w:rsid w:val="00EF438B"/>
    <w:rsid w:val="00EF44F1"/>
    <w:rsid w:val="00EF50EA"/>
    <w:rsid w:val="00EF6CC2"/>
    <w:rsid w:val="00F0090E"/>
    <w:rsid w:val="00F052F7"/>
    <w:rsid w:val="00F05E6D"/>
    <w:rsid w:val="00F07E4B"/>
    <w:rsid w:val="00F10292"/>
    <w:rsid w:val="00F1050A"/>
    <w:rsid w:val="00F11BD6"/>
    <w:rsid w:val="00F12648"/>
    <w:rsid w:val="00F135A1"/>
    <w:rsid w:val="00F17537"/>
    <w:rsid w:val="00F2081E"/>
    <w:rsid w:val="00F21A4D"/>
    <w:rsid w:val="00F23AA5"/>
    <w:rsid w:val="00F23B59"/>
    <w:rsid w:val="00F2661C"/>
    <w:rsid w:val="00F30668"/>
    <w:rsid w:val="00F34AB7"/>
    <w:rsid w:val="00F363E2"/>
    <w:rsid w:val="00F367E5"/>
    <w:rsid w:val="00F4331E"/>
    <w:rsid w:val="00F43886"/>
    <w:rsid w:val="00F46B11"/>
    <w:rsid w:val="00F52679"/>
    <w:rsid w:val="00F52B26"/>
    <w:rsid w:val="00F56420"/>
    <w:rsid w:val="00F6594C"/>
    <w:rsid w:val="00F71A05"/>
    <w:rsid w:val="00F73643"/>
    <w:rsid w:val="00F73AC0"/>
    <w:rsid w:val="00F74218"/>
    <w:rsid w:val="00F7687E"/>
    <w:rsid w:val="00F77021"/>
    <w:rsid w:val="00F77ADA"/>
    <w:rsid w:val="00F81398"/>
    <w:rsid w:val="00F86549"/>
    <w:rsid w:val="00F91278"/>
    <w:rsid w:val="00F92B0A"/>
    <w:rsid w:val="00F94EC9"/>
    <w:rsid w:val="00F9796F"/>
    <w:rsid w:val="00FA3CEE"/>
    <w:rsid w:val="00FA4CA0"/>
    <w:rsid w:val="00FA6CFB"/>
    <w:rsid w:val="00FA70B1"/>
    <w:rsid w:val="00FB1689"/>
    <w:rsid w:val="00FB4D9A"/>
    <w:rsid w:val="00FC48CF"/>
    <w:rsid w:val="00FC73D0"/>
    <w:rsid w:val="00FD1048"/>
    <w:rsid w:val="00FD190E"/>
    <w:rsid w:val="00FD1DC0"/>
    <w:rsid w:val="00FD37BD"/>
    <w:rsid w:val="00FD5A6A"/>
    <w:rsid w:val="00FE576F"/>
    <w:rsid w:val="00FE73F9"/>
    <w:rsid w:val="00FE75BB"/>
    <w:rsid w:val="00FF1E09"/>
    <w:rsid w:val="00FF204C"/>
    <w:rsid w:val="00FF4ABB"/>
    <w:rsid w:val="00FF570D"/>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5C1A7"/>
  <w15:docId w15:val="{D1D14905-B132-43D8-8217-FD826E8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F74"/>
    <w:rPr>
      <w:rFonts w:ascii="Times New Roman" w:eastAsia="Times New Roman" w:hAnsi="Times New Roman"/>
      <w:sz w:val="24"/>
      <w:szCs w:val="24"/>
    </w:rPr>
  </w:style>
  <w:style w:type="paragraph" w:styleId="Heading1">
    <w:name w:val="heading 1"/>
    <w:basedOn w:val="Normal"/>
    <w:next w:val="Normal"/>
    <w:link w:val="Heading1Char"/>
    <w:uiPriority w:val="9"/>
    <w:qFormat/>
    <w:rsid w:val="00563592"/>
    <w:pPr>
      <w:keepNext/>
      <w:spacing w:before="240" w:after="60"/>
      <w:outlineLvl w:val="0"/>
    </w:pPr>
    <w:rPr>
      <w:rFonts w:ascii="Calibri Light" w:hAnsi="Calibri Light"/>
      <w:b/>
      <w:bCs/>
      <w:kern w:val="32"/>
      <w:sz w:val="32"/>
      <w:szCs w:val="32"/>
    </w:rPr>
  </w:style>
  <w:style w:type="paragraph" w:styleId="Heading2">
    <w:name w:val="heading 2"/>
    <w:basedOn w:val="Form"/>
    <w:next w:val="Form"/>
    <w:link w:val="Heading2Char"/>
    <w:qFormat/>
    <w:rsid w:val="00D75F74"/>
    <w:pPr>
      <w:keepNext/>
      <w:spacing w:before="240"/>
      <w:outlineLvl w:val="1"/>
    </w:pPr>
    <w:rPr>
      <w:rFonts w:ascii=".VnArial Narrow" w:hAnsi=".VnArial Narrow"/>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75F74"/>
    <w:rPr>
      <w:rFonts w:ascii=".VnArial Narrow" w:eastAsia="Times New Roman" w:hAnsi=".VnArial Narrow" w:cs="Arial"/>
      <w:b/>
      <w:bCs/>
      <w:sz w:val="25"/>
      <w:szCs w:val="25"/>
      <w:lang w:val="en-GB" w:eastAsia="en-GB"/>
    </w:rPr>
  </w:style>
  <w:style w:type="paragraph" w:customStyle="1" w:styleId="Form">
    <w:name w:val="Form"/>
    <w:basedOn w:val="Normal"/>
    <w:rsid w:val="00D75F74"/>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styleId="Header">
    <w:name w:val="header"/>
    <w:basedOn w:val="Normal"/>
    <w:link w:val="HeaderChar"/>
    <w:uiPriority w:val="99"/>
    <w:rsid w:val="00D75F74"/>
    <w:pPr>
      <w:tabs>
        <w:tab w:val="center" w:pos="4153"/>
        <w:tab w:val="right" w:pos="8306"/>
      </w:tabs>
    </w:pPr>
    <w:rPr>
      <w:rFonts w:ascii=".VnTime" w:hAnsi=".VnTime"/>
      <w:sz w:val="28"/>
      <w:szCs w:val="28"/>
      <w:lang w:val="en-GB" w:eastAsia="en-GB"/>
    </w:rPr>
  </w:style>
  <w:style w:type="character" w:customStyle="1" w:styleId="HeaderChar">
    <w:name w:val="Header Char"/>
    <w:link w:val="Header"/>
    <w:uiPriority w:val="99"/>
    <w:rsid w:val="00D75F74"/>
    <w:rPr>
      <w:rFonts w:ascii=".VnTime" w:eastAsia="Times New Roman" w:hAnsi=".VnTime" w:cs="Times New Roman"/>
      <w:sz w:val="28"/>
      <w:szCs w:val="28"/>
      <w:lang w:val="en-GB" w:eastAsia="en-GB"/>
    </w:rPr>
  </w:style>
  <w:style w:type="character" w:styleId="PageNumber">
    <w:name w:val="page number"/>
    <w:basedOn w:val="DefaultParagraphFont"/>
    <w:rsid w:val="00D75F74"/>
  </w:style>
  <w:style w:type="paragraph" w:customStyle="1" w:styleId="BodyText22">
    <w:name w:val="Body Text 22"/>
    <w:basedOn w:val="Normal"/>
    <w:rsid w:val="00D75F74"/>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paragraph" w:styleId="Footer">
    <w:name w:val="footer"/>
    <w:basedOn w:val="Normal"/>
    <w:link w:val="FooterChar"/>
    <w:uiPriority w:val="99"/>
    <w:rsid w:val="00D75F74"/>
    <w:pPr>
      <w:tabs>
        <w:tab w:val="center" w:pos="4320"/>
        <w:tab w:val="right" w:pos="8640"/>
      </w:tabs>
    </w:pPr>
    <w:rPr>
      <w:rFonts w:ascii=".VnTime" w:hAnsi=".VnTime"/>
      <w:sz w:val="28"/>
      <w:szCs w:val="28"/>
    </w:rPr>
  </w:style>
  <w:style w:type="character" w:customStyle="1" w:styleId="FooterChar">
    <w:name w:val="Footer Char"/>
    <w:link w:val="Footer"/>
    <w:uiPriority w:val="99"/>
    <w:rsid w:val="00D75F74"/>
    <w:rPr>
      <w:rFonts w:ascii=".VnTime" w:eastAsia="Times New Roman" w:hAnsi=".VnTime" w:cs="Times New Roman"/>
      <w:sz w:val="28"/>
      <w:szCs w:val="28"/>
    </w:rPr>
  </w:style>
  <w:style w:type="paragraph" w:styleId="BodyTextIndent2">
    <w:name w:val="Body Text Indent 2"/>
    <w:basedOn w:val="Normal"/>
    <w:link w:val="BodyTextIndent2Char"/>
    <w:rsid w:val="00D75F74"/>
    <w:pPr>
      <w:spacing w:before="160" w:line="360" w:lineRule="exact"/>
      <w:ind w:firstLine="709"/>
      <w:jc w:val="both"/>
    </w:pPr>
    <w:rPr>
      <w:rFonts w:ascii=".VnTime" w:hAnsi=".VnTime"/>
      <w:i/>
      <w:iCs/>
      <w:sz w:val="28"/>
      <w:szCs w:val="28"/>
    </w:rPr>
  </w:style>
  <w:style w:type="character" w:customStyle="1" w:styleId="BodyTextIndent2Char">
    <w:name w:val="Body Text Indent 2 Char"/>
    <w:link w:val="BodyTextIndent2"/>
    <w:rsid w:val="00D75F74"/>
    <w:rPr>
      <w:rFonts w:ascii=".VnTime" w:eastAsia="Times New Roman" w:hAnsi=".VnTime" w:cs="Times New Roman"/>
      <w:i/>
      <w:iCs/>
      <w:sz w:val="28"/>
      <w:szCs w:val="28"/>
    </w:rPr>
  </w:style>
  <w:style w:type="paragraph" w:styleId="BalloonText">
    <w:name w:val="Balloon Text"/>
    <w:basedOn w:val="Normal"/>
    <w:semiHidden/>
    <w:rsid w:val="00806602"/>
    <w:rPr>
      <w:rFonts w:ascii="Tahoma" w:hAnsi="Tahoma" w:cs="Tahoma"/>
      <w:sz w:val="16"/>
      <w:szCs w:val="16"/>
    </w:rPr>
  </w:style>
  <w:style w:type="paragraph" w:styleId="FootnoteText">
    <w:name w:val="footnote text"/>
    <w:basedOn w:val="Normal"/>
    <w:semiHidden/>
    <w:rsid w:val="00C13016"/>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uiPriority w:val="99"/>
    <w:qFormat/>
    <w:rsid w:val="00C13016"/>
    <w:rPr>
      <w:vertAlign w:val="superscript"/>
    </w:rPr>
  </w:style>
  <w:style w:type="character" w:customStyle="1" w:styleId="Heading1Char">
    <w:name w:val="Heading 1 Char"/>
    <w:link w:val="Heading1"/>
    <w:uiPriority w:val="9"/>
    <w:rsid w:val="00563592"/>
    <w:rPr>
      <w:rFonts w:ascii="Calibri Light" w:eastAsia="Times New Roman" w:hAnsi="Calibri Light" w:cs="Times New Roman"/>
      <w:b/>
      <w:bCs/>
      <w:kern w:val="32"/>
      <w:sz w:val="32"/>
      <w:szCs w:val="32"/>
    </w:rPr>
  </w:style>
  <w:style w:type="paragraph" w:customStyle="1" w:styleId="CharCharCharCharCharCharChar">
    <w:name w:val="Char Char Char Char Char Char Char"/>
    <w:basedOn w:val="Normal"/>
    <w:rsid w:val="00A80504"/>
    <w:pPr>
      <w:spacing w:after="160" w:line="240" w:lineRule="exact"/>
    </w:pPr>
    <w:rPr>
      <w:rFonts w:ascii="Verdana" w:hAnsi="Verdana"/>
      <w:sz w:val="20"/>
      <w:szCs w:val="20"/>
    </w:rPr>
  </w:style>
  <w:style w:type="paragraph" w:styleId="BodyTextIndent3">
    <w:name w:val="Body Text Indent 3"/>
    <w:basedOn w:val="Normal"/>
    <w:link w:val="BodyTextIndent3Char"/>
    <w:rsid w:val="00457524"/>
    <w:pPr>
      <w:spacing w:after="120"/>
      <w:ind w:left="360"/>
    </w:pPr>
    <w:rPr>
      <w:rFonts w:ascii=".VnTime" w:hAnsi=".VnTime"/>
      <w:sz w:val="16"/>
      <w:szCs w:val="16"/>
    </w:rPr>
  </w:style>
  <w:style w:type="character" w:customStyle="1" w:styleId="BodyTextIndent3Char">
    <w:name w:val="Body Text Indent 3 Char"/>
    <w:link w:val="BodyTextIndent3"/>
    <w:rsid w:val="00457524"/>
    <w:rPr>
      <w:rFonts w:ascii=".VnTime" w:eastAsia="Times New Roman" w:hAnsi=".VnTime"/>
      <w:sz w:val="16"/>
      <w:szCs w:val="16"/>
    </w:rPr>
  </w:style>
  <w:style w:type="paragraph" w:styleId="BodyText2">
    <w:name w:val="Body Text 2"/>
    <w:basedOn w:val="Normal"/>
    <w:link w:val="BodyText2Char"/>
    <w:uiPriority w:val="99"/>
    <w:semiHidden/>
    <w:unhideWhenUsed/>
    <w:rsid w:val="00E72D0E"/>
    <w:pPr>
      <w:spacing w:after="120" w:line="480" w:lineRule="auto"/>
    </w:pPr>
  </w:style>
  <w:style w:type="character" w:customStyle="1" w:styleId="BodyText2Char">
    <w:name w:val="Body Text 2 Char"/>
    <w:link w:val="BodyText2"/>
    <w:uiPriority w:val="99"/>
    <w:semiHidden/>
    <w:rsid w:val="00E72D0E"/>
    <w:rPr>
      <w:rFonts w:ascii="Times New Roman" w:eastAsia="Times New Roman" w:hAnsi="Times New Roman"/>
      <w:sz w:val="24"/>
      <w:szCs w:val="24"/>
    </w:rPr>
  </w:style>
  <w:style w:type="paragraph" w:styleId="Revision">
    <w:name w:val="Revision"/>
    <w:hidden/>
    <w:uiPriority w:val="99"/>
    <w:semiHidden/>
    <w:rsid w:val="006E5790"/>
    <w:rPr>
      <w:rFonts w:ascii="Times New Roman" w:eastAsia="Times New Roman" w:hAnsi="Times New Roman"/>
      <w:sz w:val="24"/>
      <w:szCs w:val="24"/>
    </w:rPr>
  </w:style>
  <w:style w:type="paragraph" w:customStyle="1" w:styleId="CharCharCharCharCharCharChar0">
    <w:name w:val="Char Char Char Char Char Char Char"/>
    <w:basedOn w:val="Normal"/>
    <w:rsid w:val="00F12648"/>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6726">
      <w:bodyDiv w:val="1"/>
      <w:marLeft w:val="0"/>
      <w:marRight w:val="0"/>
      <w:marTop w:val="0"/>
      <w:marBottom w:val="0"/>
      <w:divBdr>
        <w:top w:val="none" w:sz="0" w:space="0" w:color="auto"/>
        <w:left w:val="none" w:sz="0" w:space="0" w:color="auto"/>
        <w:bottom w:val="none" w:sz="0" w:space="0" w:color="auto"/>
        <w:right w:val="none" w:sz="0" w:space="0" w:color="auto"/>
      </w:divBdr>
    </w:div>
    <w:div w:id="174195087">
      <w:bodyDiv w:val="1"/>
      <w:marLeft w:val="0"/>
      <w:marRight w:val="0"/>
      <w:marTop w:val="0"/>
      <w:marBottom w:val="0"/>
      <w:divBdr>
        <w:top w:val="none" w:sz="0" w:space="0" w:color="auto"/>
        <w:left w:val="none" w:sz="0" w:space="0" w:color="auto"/>
        <w:bottom w:val="none" w:sz="0" w:space="0" w:color="auto"/>
        <w:right w:val="none" w:sz="0" w:space="0" w:color="auto"/>
      </w:divBdr>
    </w:div>
    <w:div w:id="1283415782">
      <w:bodyDiv w:val="1"/>
      <w:marLeft w:val="0"/>
      <w:marRight w:val="0"/>
      <w:marTop w:val="0"/>
      <w:marBottom w:val="0"/>
      <w:divBdr>
        <w:top w:val="none" w:sz="0" w:space="0" w:color="auto"/>
        <w:left w:val="none" w:sz="0" w:space="0" w:color="auto"/>
        <w:bottom w:val="none" w:sz="0" w:space="0" w:color="auto"/>
        <w:right w:val="none" w:sz="0" w:space="0" w:color="auto"/>
      </w:divBdr>
    </w:div>
    <w:div w:id="19020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28D07-81E1-44D9-AFDC-3A6B6627E6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F01981-6D45-477F-B4BE-E5DBB4263324}">
  <ds:schemaRefs>
    <ds:schemaRef ds:uri="http://schemas.microsoft.com/sharepoint/v3/contenttype/forms"/>
  </ds:schemaRefs>
</ds:datastoreItem>
</file>

<file path=customXml/itemProps3.xml><?xml version="1.0" encoding="utf-8"?>
<ds:datastoreItem xmlns:ds="http://schemas.openxmlformats.org/officeDocument/2006/customXml" ds:itemID="{78B6BB2E-438C-4580-A27C-BDD108139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637863-BB62-40A8-8EFB-FB65BB2F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QUỐC HỘI</vt:lpstr>
    </vt:vector>
  </TitlesOfParts>
  <Company>Hewlett-Packard Company</Company>
  <LinksUpToDate>false</LinksUpToDate>
  <CharactersWithSpaces>14978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tanbn</dc:creator>
  <cp:keywords/>
  <cp:lastModifiedBy>PC</cp:lastModifiedBy>
  <cp:revision>2</cp:revision>
  <cp:lastPrinted>2024-11-21T03:48:00Z</cp:lastPrinted>
  <dcterms:created xsi:type="dcterms:W3CDTF">2024-12-05T04:30:00Z</dcterms:created>
  <dcterms:modified xsi:type="dcterms:W3CDTF">2024-12-05T04:30:00Z</dcterms:modified>
</cp:coreProperties>
</file>