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943AE9" w:rsidRPr="00943AE9" w:rsidTr="00943AE9">
        <w:trPr>
          <w:tblCellSpacing w:w="0" w:type="dxa"/>
        </w:trPr>
        <w:tc>
          <w:tcPr>
            <w:tcW w:w="2500" w:type="pct"/>
            <w:shd w:val="clear" w:color="auto" w:fill="FFFFFF"/>
            <w:hideMark/>
          </w:tcPr>
          <w:p w:rsidR="00943AE9" w:rsidRPr="00943AE9" w:rsidRDefault="00943AE9" w:rsidP="00943AE9">
            <w:pPr>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Mẫu số 02-UQ</w:t>
            </w:r>
            <w:r w:rsidRPr="00943AE9">
              <w:rPr>
                <w:rFonts w:ascii="Arial" w:eastAsia="Times New Roman" w:hAnsi="Arial" w:cs="Arial"/>
                <w:b/>
                <w:bCs/>
                <w:color w:val="000000"/>
                <w:sz w:val="20"/>
                <w:szCs w:val="20"/>
                <w:lang w:eastAsia="vi-VN"/>
              </w:rPr>
              <w:br/>
            </w:r>
            <w:r w:rsidRPr="00943AE9">
              <w:rPr>
                <w:rFonts w:ascii="Arial" w:eastAsia="Times New Roman" w:hAnsi="Arial" w:cs="Arial"/>
                <w:i/>
                <w:iCs/>
                <w:color w:val="000000"/>
                <w:sz w:val="20"/>
                <w:szCs w:val="20"/>
                <w:lang w:eastAsia="vi-VN"/>
              </w:rPr>
              <w:t>(Ban hành theo QĐ số: 615/QĐ-BHXH ngày 11/4/2023 của BHXH Việt Nam)</w:t>
            </w:r>
          </w:p>
        </w:tc>
      </w:tr>
    </w:tbl>
    <w:p w:rsidR="00943AE9" w:rsidRPr="00943AE9" w:rsidRDefault="00943AE9" w:rsidP="00943AE9">
      <w:pPr>
        <w:shd w:val="clear" w:color="auto" w:fill="FFFFFF"/>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CỘNG HÒA XÃ HỘI CHỦ NGHĨA VIỆT NAM</w:t>
      </w:r>
      <w:r w:rsidRPr="00943AE9">
        <w:rPr>
          <w:rFonts w:ascii="Arial" w:eastAsia="Times New Roman" w:hAnsi="Arial" w:cs="Arial"/>
          <w:b/>
          <w:bCs/>
          <w:color w:val="000000"/>
          <w:sz w:val="20"/>
          <w:szCs w:val="20"/>
          <w:lang w:eastAsia="vi-VN"/>
        </w:rPr>
        <w:br/>
        <w:t>Độc lập - Tự do - Hạnh phúc</w:t>
      </w:r>
      <w:r w:rsidRPr="00943AE9">
        <w:rPr>
          <w:rFonts w:ascii="Arial" w:eastAsia="Times New Roman" w:hAnsi="Arial" w:cs="Arial"/>
          <w:b/>
          <w:bCs/>
          <w:color w:val="000000"/>
          <w:sz w:val="20"/>
          <w:szCs w:val="20"/>
          <w:lang w:eastAsia="vi-VN"/>
        </w:rPr>
        <w:br/>
        <w:t>---------------</w:t>
      </w:r>
    </w:p>
    <w:p w:rsidR="00943AE9" w:rsidRPr="00943AE9" w:rsidRDefault="00943AE9" w:rsidP="00943AE9">
      <w:pPr>
        <w:shd w:val="clear" w:color="auto" w:fill="FFFFFF"/>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HỢP ĐỒNG ỦY QUYỀN THU</w:t>
      </w:r>
      <w:r w:rsidRPr="00943AE9">
        <w:rPr>
          <w:rFonts w:ascii="Arial" w:eastAsia="Times New Roman" w:hAnsi="Arial" w:cs="Arial"/>
          <w:b/>
          <w:bCs/>
          <w:color w:val="000000"/>
          <w:sz w:val="20"/>
          <w:szCs w:val="20"/>
          <w:lang w:eastAsia="vi-VN"/>
        </w:rPr>
        <w:br/>
        <w:t>BẢO HIỂM XÃ HỘI, BẢO HIỂM Y TẾ</w:t>
      </w:r>
    </w:p>
    <w:p w:rsidR="00943AE9" w:rsidRPr="00943AE9" w:rsidRDefault="00943AE9" w:rsidP="00943AE9">
      <w:pPr>
        <w:shd w:val="clear" w:color="auto" w:fill="FFFFFF"/>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Số ........./HĐ/20.........</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Bộ Luật Dân sự ngày 24 tháng 11 năm 2015;</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Luật Bảo hiểm xã hội ngày 20 tháng 11 năm 2014;</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Luật Bảo hiểm y tế ngày 14 tháng 11 năm 2008; Luật sửa đổi bổ sung một số điều của Luật Bảo hiểm y tế ngày 13 tháng 6 năm 2014:</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Luật Giao dịch điện tử ngày 29 tháng 11 năm 2005;</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Nghị định số 89/2020/NĐ-CP ngày 04/8/2020 của Chính phủ quy định chức năng, nhiệm vụ, quyền hạn và cơ cấu tổ chức của Bảo hiểm xã hội Việt Nam;</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Quyết định số 60/2015/QĐ-TTg ngày 27/11/2015 của Thủ tướng Chính phủ về cơ chế quản lý tài chính về bảo hiểm xã hội, bảo hiểm y tế, bảo hiểm thất nghiệp và chi phí quản lý bảo hiểm xã hội, bảo hiểm y tế, bảo hiểm thất nghiệp; Quyết định số 38/2019/QĐ-TTg ngày 31/12/2019 của Thủ tướng Chính phủ về sửa đổi, bổ sung một số điều của Quyết định số 60/2015/QĐ-TTg;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Thông tư số 20/2016/TT-BTC ngày 03/2/2016 của Bộ Tài chính hướng dẫn thực hiện cơ chế tài chính bảo hiểm xã hội, bảo hiểm y tế, bảo hiểm thất nghiệp và chi phí quản lý bảo hiểm xã hội, bảo hiểm y tế, bảo hiểm thất nghiệp; Thông tư số 24/2020/TT-BTC ngày 13/4/2020 của Bộ Tài chính sửa đổi, bổ sung một số điều của Thông tư số 20/2016/TT-BTC;</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Quyết định số …../QĐ-BHXH ngày …./…/…. của Tổng Giám đốc BHXH Việt Nam quy định chức năng, nhiệm vụ, quyền hạn và cơ cấu tổ chức của Bảo hiểm xã hội địa phương;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Quyết định số .../QĐ-BHXH ngày …/…/… của Tổng Giám đốc Bảo hiểm xã hội Việt Nam về việc ban hành Quy trình thu bảo hiểm xã hội, bảo hiểm y tế, bảo hiểm thất nghiệp, bảo hiểm tai nạn lao động, bệnh nghề nghiệp; quản lý sổ bảo hiểm xã hội, thẻ bảo hiểm y tế;</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Quyết định số ……/QĐ-BHXH ngày …/…/2022 của Tổng Giám đốc Bảo hiểm xã hội Việt Nam về việc ban hành Quy chế quản lý hoạt động của tổ chức dịch vụ thu bảo hiểm xã hội, bảo hiểm y tế; Quyết định số …../QĐ-BHXH ngày .../.../2023 của Tổng Giám đốc Bảo hiểm xã hội Việt Nam về việc sửa đổi, bổ sung một số điều của Quy chế quản lý hoạt động của tổ chức dịch vụ thu bảo hiểm xã hội, bảo hiểm y tế ban hành kèm theo Quyết định số 1155/QĐ-BHXH;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Quyết định số .../QĐ-BHXH ngày .../.../202... của Tổng Giám đốc Bảo hiểm xã hội Việt Nam về ban hành mức chi thù lao cho Tổ chức dịch vụ thu bảo hiểm xã hội tự nguyện, bảo hiểm y tế;</w:t>
      </w:r>
    </w:p>
    <w:p w:rsidR="00943AE9" w:rsidRPr="00943AE9" w:rsidRDefault="00943AE9" w:rsidP="00943AE9">
      <w:pPr>
        <w:shd w:val="clear" w:color="auto" w:fill="FFFFFF"/>
        <w:spacing w:after="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w:t>
      </w:r>
      <w:bookmarkStart w:id="0" w:name="_ftnref2"/>
      <w:r w:rsidRPr="00943AE9">
        <w:rPr>
          <w:rFonts w:ascii="Arial" w:eastAsia="Times New Roman" w:hAnsi="Arial" w:cs="Arial"/>
          <w:i/>
          <w:iCs/>
          <w:color w:val="000000"/>
          <w:sz w:val="20"/>
          <w:szCs w:val="20"/>
          <w:lang w:eastAsia="vi-VN"/>
        </w:rPr>
        <w:fldChar w:fldCharType="begin"/>
      </w:r>
      <w:r w:rsidRPr="00943AE9">
        <w:rPr>
          <w:rFonts w:ascii="Arial" w:eastAsia="Times New Roman" w:hAnsi="Arial" w:cs="Arial"/>
          <w:i/>
          <w:iCs/>
          <w:color w:val="000000"/>
          <w:sz w:val="20"/>
          <w:szCs w:val="20"/>
          <w:lang w:eastAsia="vi-VN"/>
        </w:rPr>
        <w:instrText xml:space="preserve"> HYPERLINK "https://thuvienphapluat.vn/van-ban/Bao-hiem/Quyet-dinh-615-QD-BHXH-2023-sua-doi-Quy-che-quan-ly-to-chuc-dich-vu-thu-bao-hiem-xa-hoi-562715.aspx" \l "_ftn2" \o "" </w:instrText>
      </w:r>
      <w:r w:rsidRPr="00943AE9">
        <w:rPr>
          <w:rFonts w:ascii="Arial" w:eastAsia="Times New Roman" w:hAnsi="Arial" w:cs="Arial"/>
          <w:i/>
          <w:iCs/>
          <w:color w:val="000000"/>
          <w:sz w:val="20"/>
          <w:szCs w:val="20"/>
          <w:lang w:eastAsia="vi-VN"/>
        </w:rPr>
        <w:fldChar w:fldCharType="separate"/>
      </w:r>
      <w:r w:rsidRPr="00943AE9">
        <w:rPr>
          <w:rFonts w:ascii="Arial" w:eastAsia="Times New Roman" w:hAnsi="Arial" w:cs="Arial"/>
          <w:i/>
          <w:iCs/>
          <w:color w:val="000000"/>
          <w:sz w:val="20"/>
          <w:szCs w:val="20"/>
          <w:lang w:eastAsia="vi-VN"/>
        </w:rPr>
        <w:t>1</w:t>
      </w:r>
      <w:r w:rsidRPr="00943AE9">
        <w:rPr>
          <w:rFonts w:ascii="Arial" w:eastAsia="Times New Roman" w:hAnsi="Arial" w:cs="Arial"/>
          <w:i/>
          <w:iCs/>
          <w:color w:val="000000"/>
          <w:sz w:val="20"/>
          <w:szCs w:val="20"/>
          <w:lang w:eastAsia="vi-VN"/>
        </w:rPr>
        <w:fldChar w:fldCharType="end"/>
      </w:r>
      <w:bookmarkEnd w:id="0"/>
      <w:r w:rsidRPr="00943AE9">
        <w:rPr>
          <w:rFonts w:ascii="Arial" w:eastAsia="Times New Roman" w:hAnsi="Arial" w:cs="Arial"/>
          <w:i/>
          <w:iCs/>
          <w:color w:val="000000"/>
          <w:sz w:val="20"/>
          <w:szCs w:val="20"/>
          <w:lang w:eastAsia="vi-VN"/>
        </w:rPr>
        <w:t>) Căn cứ Hợp đồng nguyên tắc số.../202.../BHXHVN-...ngày .../.../...giữa Bảo hiểm xã hội Việt Nam và ...về ủy quyền thu bảo hiểm xã hội tự nguyện, bảo hiểm y tế tự đóng.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Căn cứ nhu cầu và năng lực của Các Bên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Hôm nay, ngày …… tháng …… năm………, tại: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Chúng tôi gồm:</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Bên A: Bảo hiểm xã hội </w:t>
      </w:r>
      <w:r w:rsidRPr="00943AE9">
        <w:rPr>
          <w:rFonts w:ascii="Arial" w:eastAsia="Times New Roman" w:hAnsi="Arial" w:cs="Arial"/>
          <w:color w:val="000000"/>
          <w:sz w:val="20"/>
          <w:szCs w:val="20"/>
          <w:lang w:eastAsia="vi-VN"/>
        </w:rPr>
        <w: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Địa chỉ: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Điện thoại: ……………………………………………; Fax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Tài khoản số: ………………………………………..; Tại Ngân hàng: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Đại diện là: Ông (bà): …………………………………………; chức vụ: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Bên B: Cơ quan/tổ chức </w:t>
      </w:r>
      <w:r w:rsidRPr="00943AE9">
        <w:rPr>
          <w:rFonts w:ascii="Arial" w:eastAsia="Times New Roman" w:hAnsi="Arial" w:cs="Arial"/>
          <w:color w:val="000000"/>
          <w:sz w:val="20"/>
          <w:szCs w:val="20"/>
          <w:lang w:eastAsia="vi-VN"/>
        </w:rPr>
        <w: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lastRenderedPageBreak/>
        <w:t>Địa chỉ: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Điện thoại: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Tài khoản số: …………………………………………..; Tại Ngân hàng: ...............................</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Đăng ký kinh doanh/Quyết định thành lập số...</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Đại diện là: Ông (bà): ……………………………………; chức vụ: .....................................</w:t>
      </w:r>
    </w:p>
    <w:p w:rsidR="00943AE9" w:rsidRPr="00943AE9" w:rsidRDefault="00943AE9" w:rsidP="00943AE9">
      <w:pPr>
        <w:shd w:val="clear" w:color="auto" w:fill="FFFFFF"/>
        <w:spacing w:after="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w:t>
      </w:r>
      <w:bookmarkStart w:id="1" w:name="_ftnref3"/>
      <w:r w:rsidRPr="00943AE9">
        <w:rPr>
          <w:rFonts w:ascii="Arial" w:eastAsia="Times New Roman" w:hAnsi="Arial" w:cs="Arial"/>
          <w:i/>
          <w:iCs/>
          <w:color w:val="000000"/>
          <w:sz w:val="20"/>
          <w:szCs w:val="20"/>
          <w:lang w:eastAsia="vi-VN"/>
        </w:rPr>
        <w:fldChar w:fldCharType="begin"/>
      </w:r>
      <w:r w:rsidRPr="00943AE9">
        <w:rPr>
          <w:rFonts w:ascii="Arial" w:eastAsia="Times New Roman" w:hAnsi="Arial" w:cs="Arial"/>
          <w:i/>
          <w:iCs/>
          <w:color w:val="000000"/>
          <w:sz w:val="20"/>
          <w:szCs w:val="20"/>
          <w:lang w:eastAsia="vi-VN"/>
        </w:rPr>
        <w:instrText xml:space="preserve"> HYPERLINK "https://thuvienphapluat.vn/van-ban/Bao-hiem/Quyet-dinh-615-QD-BHXH-2023-sua-doi-Quy-che-quan-ly-to-chuc-dich-vu-thu-bao-hiem-xa-hoi-562715.aspx" \l "_ftn3" \o "" </w:instrText>
      </w:r>
      <w:r w:rsidRPr="00943AE9">
        <w:rPr>
          <w:rFonts w:ascii="Arial" w:eastAsia="Times New Roman" w:hAnsi="Arial" w:cs="Arial"/>
          <w:i/>
          <w:iCs/>
          <w:color w:val="000000"/>
          <w:sz w:val="20"/>
          <w:szCs w:val="20"/>
          <w:lang w:eastAsia="vi-VN"/>
        </w:rPr>
        <w:fldChar w:fldCharType="separate"/>
      </w:r>
      <w:r w:rsidRPr="00943AE9">
        <w:rPr>
          <w:rFonts w:ascii="Arial" w:eastAsia="Times New Roman" w:hAnsi="Arial" w:cs="Arial"/>
          <w:i/>
          <w:iCs/>
          <w:color w:val="000000"/>
          <w:sz w:val="20"/>
          <w:szCs w:val="20"/>
          <w:lang w:eastAsia="vi-VN"/>
        </w:rPr>
        <w:t>2</w:t>
      </w:r>
      <w:r w:rsidRPr="00943AE9">
        <w:rPr>
          <w:rFonts w:ascii="Arial" w:eastAsia="Times New Roman" w:hAnsi="Arial" w:cs="Arial"/>
          <w:i/>
          <w:iCs/>
          <w:color w:val="000000"/>
          <w:sz w:val="20"/>
          <w:szCs w:val="20"/>
          <w:lang w:eastAsia="vi-VN"/>
        </w:rPr>
        <w:fldChar w:fldCharType="end"/>
      </w:r>
      <w:bookmarkEnd w:id="1"/>
      <w:r w:rsidRPr="00943AE9">
        <w:rPr>
          <w:rFonts w:ascii="Arial" w:eastAsia="Times New Roman" w:hAnsi="Arial" w:cs="Arial"/>
          <w:i/>
          <w:iCs/>
          <w:color w:val="000000"/>
          <w:sz w:val="20"/>
          <w:szCs w:val="20"/>
          <w:lang w:eastAsia="vi-VN"/>
        </w:rPr>
        <w:t>) Là đơn vị thành viên trực thuộc ...(tổ chức dịch vụ)...đã ký Hợp đồng nguyên tắc số .../202…/BHXHVN-... ngày .../.../... với Bảo hiểm xã hội Việt Nam về ủy quyền thu BHXH tự nguyện, BHYT tự đóng.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Bên A và Bên B sau đây được gọi chung là “Các Bên” và gọi riêng là “Bên”.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Hai Bên thỏa thuận và thống nhất ký Hợp đồng ủy quyền thu bảo hiểm xã hội, bảo hiểm y tế (Hợp đồng) theo các điều khoản sau:</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1. Phạm vi ủy quyền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1. Bên A ủy quyền và Bên B đồng ý nhận ủy quyền thu bảo hiểm xã hội (BHXH) của người tham gia BHXH tự nguyện, người tham gia bảo hiểm y tế (BHYT) theo hộ gia đình, người tham gia BHYT được ngân sách nhà nước hỗ trợ mức đóng trong phạm vi... (huyện/ tỉnh). Bên B thực hiện các công việc sau:</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a) Vận động người dân tham gia BHXH tự nguyện,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b) Tiếp nhận hồ sơ, lập danh sách tham gia của người tham gia BHXH tự nguyện,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c) Đôn đốc, hướng dẫn: người tham gia BHXH tự nguyện, BHYT tiếp tục đóng tiền để được ghi nhận thời gian tham gia BHXH và gia hạn giá trị sử dụng thẻ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d) Thu tiền đóng của người tham gia BHXH tự nguyện, BHYT; chuyển/nộp tiền, hồ sơ của người tham gia kịp thời, đầy đủ cho cơ quan BHXH.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 Nhận sổ BHXH, thẻ BHYT từ cơ quan BHXH trả cho người tham gia BHXH tự nguyện,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Thời hạn ủy quyền theo thời hạn hiệu lực của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2. Trách nhiệm của Bên A</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1. Đảm bảo đầy đủ năng lực, thẩm quyền ký kết và thực hiện Hợp đồng này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Đôn đốc, hướng dẫn Bên B thực hiện quy trình nghiệp vụ thu, nộp tiền đóng của người tham gia BHXH, BHYT; quản lý dữ liệu, chứng từ về thu BHXH, BHYT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3. Cung cấp hồ sơ, tài liệu nghiệp vụ, mẫu biểu, biên lai thu tiền bằng giấy, biển hiệu Điểm thu và các thông tin cần thiết liên quan đến hoạt động ủy quyền thu cho Bên B.</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4. Bồi dưỡng, tập huấn nghiệp vụ, cấp Thẻ nhân viên thu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5. Thanh toán thù lao cho Bên B theo đúng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6. Thông báo, phổ biến cho Bên B những thay đổi về chế độ, chính sách BHXH, BHYT và quy định của BHXH Việt Nam liên quan đến hoạt động thu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7. Định kỳ hoặc đột xuất kiểm tra toàn diện hoạt động dịch vụ thu của Bên B bao gồm cá nhân viên thu BHXH, BHYT của Bên B; xem xét xử lý hoặc kiến nghị xử lý theo thẩm quyền các trường hợp vi phạm.</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3. Trách nhiệm của Bên B</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1. Đảm bảo có đầy đủ năng lực và thẩm quyền ký kết, thực hiện Hợp Đồng này; đáp ứng các điều kiện về nhân lực, cơ sở vật chất, hạ tầng kỹ thuật công nghệ thông tin để triển khai thực hiện hoạt động ủy quyền thu, phát triển người tham gia BHXH tự nguyện,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Tuân thủ quy định của pháp luật BHXH, BHYT, quy trình thu của BHXH Việt Nam trong hoạt động ủy quyền thu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3. Cam kết thực hiện chỉ tiêu chỉ tiêu thu BHXH, BHYT năm 202...như sau: Số người tham gia BHXH tự nguyện:....người, số người tham gia BHYT:....người.</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lastRenderedPageBreak/>
        <w:t>4. Xây dựng phương án, mở rộng mạng lưới điểm thu trên các địa bàn (danh sách điểm thu kèm theo). Tổ chức triển khai các giải pháp phát triển người tham gia BHXH, BHYT, hoàn thành chỉ tiêu được giao.</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5. Quản lý nhân viên thu, chịu trách nhiệm toàn diện về hoạt động của nhân viên thu BHXH, BHYT. Giao chỉ tiêu phát triển người tham gia cho từng nhân viên thu; đôn đốc, đánh giá kết quả và trả thù lao cho nhân viên thu tối thiểu là ...% mức thù lao theo quy định của BHXH Việt Nam.</w:t>
      </w:r>
    </w:p>
    <w:p w:rsidR="00943AE9" w:rsidRPr="00943AE9" w:rsidRDefault="00943AE9" w:rsidP="00943AE9">
      <w:pPr>
        <w:shd w:val="clear" w:color="auto" w:fill="FFFFFF"/>
        <w:spacing w:after="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6. (</w:t>
      </w:r>
      <w:bookmarkStart w:id="2" w:name="_ftnref4"/>
      <w:r w:rsidRPr="00943AE9">
        <w:rPr>
          <w:rFonts w:ascii="Arial" w:eastAsia="Times New Roman" w:hAnsi="Arial" w:cs="Arial"/>
          <w:color w:val="000000"/>
          <w:sz w:val="20"/>
          <w:szCs w:val="20"/>
          <w:lang w:eastAsia="vi-VN"/>
        </w:rPr>
        <w:fldChar w:fldCharType="begin"/>
      </w:r>
      <w:r w:rsidRPr="00943AE9">
        <w:rPr>
          <w:rFonts w:ascii="Arial" w:eastAsia="Times New Roman" w:hAnsi="Arial" w:cs="Arial"/>
          <w:color w:val="000000"/>
          <w:sz w:val="20"/>
          <w:szCs w:val="20"/>
          <w:lang w:eastAsia="vi-VN"/>
        </w:rPr>
        <w:instrText xml:space="preserve"> HYPERLINK "https://thuvienphapluat.vn/van-ban/Bao-hiem/Quyet-dinh-615-QD-BHXH-2023-sua-doi-Quy-che-quan-ly-to-chuc-dich-vu-thu-bao-hiem-xa-hoi-562715.aspx" \l "_ftn4" \o "" </w:instrText>
      </w:r>
      <w:r w:rsidRPr="00943AE9">
        <w:rPr>
          <w:rFonts w:ascii="Arial" w:eastAsia="Times New Roman" w:hAnsi="Arial" w:cs="Arial"/>
          <w:color w:val="000000"/>
          <w:sz w:val="20"/>
          <w:szCs w:val="20"/>
          <w:lang w:eastAsia="vi-VN"/>
        </w:rPr>
        <w:fldChar w:fldCharType="separate"/>
      </w:r>
      <w:r w:rsidRPr="00943AE9">
        <w:rPr>
          <w:rFonts w:ascii="Arial" w:eastAsia="Times New Roman" w:hAnsi="Arial" w:cs="Arial"/>
          <w:color w:val="000000"/>
          <w:sz w:val="20"/>
          <w:szCs w:val="20"/>
          <w:lang w:eastAsia="vi-VN"/>
        </w:rPr>
        <w:t>3</w:t>
      </w:r>
      <w:r w:rsidRPr="00943AE9">
        <w:rPr>
          <w:rFonts w:ascii="Arial" w:eastAsia="Times New Roman" w:hAnsi="Arial" w:cs="Arial"/>
          <w:color w:val="000000"/>
          <w:sz w:val="20"/>
          <w:szCs w:val="20"/>
          <w:lang w:eastAsia="vi-VN"/>
        </w:rPr>
        <w:fldChar w:fldCharType="end"/>
      </w:r>
      <w:bookmarkEnd w:id="2"/>
      <w:r w:rsidRPr="00943AE9">
        <w:rPr>
          <w:rFonts w:ascii="Arial" w:eastAsia="Times New Roman" w:hAnsi="Arial" w:cs="Arial"/>
          <w:color w:val="000000"/>
          <w:sz w:val="20"/>
          <w:szCs w:val="20"/>
          <w:lang w:eastAsia="vi-VN"/>
        </w:rPr>
        <w:t>) Sử dụng, quản lý biên lai thu tiền điện tử phải tuân thủ quy định của Luật Kế toán về chứng từ điện tử, giao dịch điện tử theo quy định của Luật Giao dịch điện tử và các quy định của pháp luật có liên quan.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7. Hoàn trả tiền thù lao tương ứng trong trường hợp cơ quan BHXH hoàn trả tiền đóng BHXH tự nguyện cho người tham gia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8. Không tiết lộ hay phổ biến bất cứ tài liệu hay thông tin nào liên quan đến Hợp đồng này. Không cung cấp dữ liệu thông tin người tham gia BHXH, BHYT cho Bên thứ ba.</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9. Xử lý/khắc phục ngay các hậu quả do lỗi kỹ thuật của Bên B hoặc do Bên B chậm chuyển tiền, hồ sơ người tham gia nhằm đảm bảo quyền lợi của người tham gia; bồi thường mọi thiệt hại (nếu có)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4. Thù lao ủy quyền thu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Bên B được hưởng thù lao theo quy định của pháp luật.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5. Gia hạn Hợp đồng, chấm dứt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1. Khi hết hạn, Hợp đồng này được Hai Bên xem xét gia hạn không quá 12 tháng và chỉ được gia hạn 01 lần.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Bên A có quyền đơn phương chấm dứt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2.1. Đơn phương chấm dứt bất cứ khi nào nhưng phải thông báo bằng văn bản cho Bên B trước 30 ngày, thực hiện đối soát, thanh quyết toán thù lao tương ứng với công việc Bên B đã thực hiện theo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2.2. Khi phát sinh một trong các trường hợp sau:</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a) Bên B vi phạm các điều khoản trong hợp đồng đã ký.</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b) Tổ chức dịch vụ thu không hoàn thành cam kết chỉ tiêu phát triển người tham gia giao kết trong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c) Bên B vi phạm pháp luật, bị các cơ quan có thẩm quyền xử lý theo quy định của pháp luật.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đ) Hành vi của Bên B, nhân viên thu làm ảnh hưởng đến uy tín, quyền lợi của người tham gia hoặc lợi ích của ngành BHXH Việt Nam.</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e) Bên B để xảy ra vi phạm một trong các hành vi sau:</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Giả mạo hồ sơ, chứng từ tham gia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Sử dụng biên lai thu tiền không đúng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Thu tiền của người tham gia trái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Không nộp tiền hoặc nộp không đúng số tiền đã thu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Nộp tiền không đúng thời gian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Có hành vi gian lận để lạm dụng quỹ BHXH, BHYT.</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Không trả sổ BHXH, thẻ BHYT của người tham gia.</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g) Thay đổi chủ thể ký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h) Thay đổi căn cứ pháp lý.</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i) Trường hợp khác do Luật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6. Trách nhiệm bồi thường, xử lý tranh chấp</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lastRenderedPageBreak/>
        <w:t>1. Các Bên có trách nhiệm bồi thường toàn bộ thiệt hại cho Bên kia và cho người tham gia BHXH, BHYT do vi phạm hợp đồng.</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Tranh chấp phát sinh trong quá trình thực hiện Hợp đồng được giải quyết thông qua thương lượng, hòa giải. Nếu Các Bên không giải quyết được bằng thương lượng thì yêu cầu Tòa án giải quyết theo quy định.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Điều 7. Điều khoản thi hành</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1. Thời hạn Hợp đồng là ...năm, có hiệu lực từ ngày .... tháng …. năm .... đến ngày … tháng … năm ….; Hợp đồng được gia hạn trong trường hợp Hai Bên thoả thuận để tiếp tục thực hiện bằng phụ lục hợp đồng.</w:t>
      </w:r>
    </w:p>
    <w:p w:rsidR="00943AE9" w:rsidRPr="00943AE9" w:rsidRDefault="00943AE9" w:rsidP="00943AE9">
      <w:pPr>
        <w:shd w:val="clear" w:color="auto" w:fill="FFFFFF"/>
        <w:spacing w:after="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2. (</w:t>
      </w:r>
      <w:bookmarkStart w:id="3" w:name="_ftnref5"/>
      <w:r w:rsidRPr="00943AE9">
        <w:rPr>
          <w:rFonts w:ascii="Arial" w:eastAsia="Times New Roman" w:hAnsi="Arial" w:cs="Arial"/>
          <w:color w:val="000000"/>
          <w:sz w:val="20"/>
          <w:szCs w:val="20"/>
          <w:lang w:eastAsia="vi-VN"/>
        </w:rPr>
        <w:fldChar w:fldCharType="begin"/>
      </w:r>
      <w:r w:rsidRPr="00943AE9">
        <w:rPr>
          <w:rFonts w:ascii="Arial" w:eastAsia="Times New Roman" w:hAnsi="Arial" w:cs="Arial"/>
          <w:color w:val="000000"/>
          <w:sz w:val="20"/>
          <w:szCs w:val="20"/>
          <w:lang w:eastAsia="vi-VN"/>
        </w:rPr>
        <w:instrText xml:space="preserve"> HYPERLINK "https://thuvienphapluat.vn/van-ban/Bao-hiem/Quyet-dinh-615-QD-BHXH-2023-sua-doi-Quy-che-quan-ly-to-chuc-dich-vu-thu-bao-hiem-xa-hoi-562715.aspx" \l "_ftn5" \o "" </w:instrText>
      </w:r>
      <w:r w:rsidRPr="00943AE9">
        <w:rPr>
          <w:rFonts w:ascii="Arial" w:eastAsia="Times New Roman" w:hAnsi="Arial" w:cs="Arial"/>
          <w:color w:val="000000"/>
          <w:sz w:val="20"/>
          <w:szCs w:val="20"/>
          <w:lang w:eastAsia="vi-VN"/>
        </w:rPr>
        <w:fldChar w:fldCharType="separate"/>
      </w:r>
      <w:r w:rsidRPr="00943AE9">
        <w:rPr>
          <w:rFonts w:ascii="Arial" w:eastAsia="Times New Roman" w:hAnsi="Arial" w:cs="Arial"/>
          <w:color w:val="000000"/>
          <w:sz w:val="20"/>
          <w:szCs w:val="20"/>
          <w:lang w:eastAsia="vi-VN"/>
        </w:rPr>
        <w:t>4</w:t>
      </w:r>
      <w:r w:rsidRPr="00943AE9">
        <w:rPr>
          <w:rFonts w:ascii="Arial" w:eastAsia="Times New Roman" w:hAnsi="Arial" w:cs="Arial"/>
          <w:color w:val="000000"/>
          <w:sz w:val="20"/>
          <w:szCs w:val="20"/>
          <w:lang w:eastAsia="vi-VN"/>
        </w:rPr>
        <w:fldChar w:fldCharType="end"/>
      </w:r>
      <w:bookmarkEnd w:id="3"/>
      <w:r w:rsidRPr="00943AE9">
        <w:rPr>
          <w:rFonts w:ascii="Arial" w:eastAsia="Times New Roman" w:hAnsi="Arial" w:cs="Arial"/>
          <w:color w:val="000000"/>
          <w:sz w:val="20"/>
          <w:szCs w:val="20"/>
          <w:lang w:eastAsia="vi-VN"/>
        </w:rPr>
        <w:t>) Trong thời gian 10 ngày, kể từ ngày ký hợp đồng, Bên B phải cung cấp bảo đảm thực hiện hợp đồng theo hình thức thư bảo lãnh/hợp đồng bảo lãnh do ngân hàng hoạt động hợp pháp tại Việt Nam phát hành với giá trị là ……, đồng (</w:t>
      </w:r>
      <w:r w:rsidRPr="00943AE9">
        <w:rPr>
          <w:rFonts w:ascii="Arial" w:eastAsia="Times New Roman" w:hAnsi="Arial" w:cs="Arial"/>
          <w:i/>
          <w:iCs/>
          <w:color w:val="000000"/>
          <w:sz w:val="20"/>
          <w:szCs w:val="20"/>
          <w:lang w:eastAsia="vi-VN"/>
        </w:rPr>
        <w:t>bằng chữ</w:t>
      </w:r>
      <w:r w:rsidRPr="00943AE9">
        <w:rPr>
          <w:rFonts w:ascii="Arial" w:eastAsia="Times New Roman" w:hAnsi="Arial" w:cs="Arial"/>
          <w:color w:val="000000"/>
          <w:sz w:val="20"/>
          <w:szCs w:val="20"/>
          <w:lang w:eastAsia="vi-VN"/>
        </w:rPr>
        <w:t>: ………………). Thư bảo lãnh/hợp đồng bảo lãnh là một bộ phận không tách rời của hợp đồng.</w:t>
      </w:r>
    </w:p>
    <w:p w:rsidR="00943AE9" w:rsidRPr="00943AE9" w:rsidRDefault="00943AE9" w:rsidP="00943AE9">
      <w:pPr>
        <w:shd w:val="clear" w:color="auto" w:fill="FFFFFF"/>
        <w:spacing w:after="0" w:line="234" w:lineRule="atLeast"/>
        <w:rPr>
          <w:rFonts w:ascii="Arial" w:eastAsia="Times New Roman" w:hAnsi="Arial" w:cs="Arial"/>
          <w:color w:val="000000"/>
          <w:sz w:val="18"/>
          <w:szCs w:val="18"/>
          <w:lang w:eastAsia="vi-VN"/>
        </w:rPr>
      </w:pPr>
      <w:r w:rsidRPr="00943AE9">
        <w:rPr>
          <w:rFonts w:ascii="Arial" w:eastAsia="Times New Roman" w:hAnsi="Arial" w:cs="Arial"/>
          <w:i/>
          <w:iCs/>
          <w:color w:val="000000"/>
          <w:sz w:val="20"/>
          <w:szCs w:val="20"/>
          <w:lang w:eastAsia="vi-VN"/>
        </w:rPr>
        <w:t>2. (</w:t>
      </w:r>
      <w:bookmarkStart w:id="4" w:name="_ftnref6"/>
      <w:r w:rsidRPr="00943AE9">
        <w:rPr>
          <w:rFonts w:ascii="Arial" w:eastAsia="Times New Roman" w:hAnsi="Arial" w:cs="Arial"/>
          <w:i/>
          <w:iCs/>
          <w:color w:val="000000"/>
          <w:sz w:val="20"/>
          <w:szCs w:val="20"/>
          <w:lang w:eastAsia="vi-VN"/>
        </w:rPr>
        <w:fldChar w:fldCharType="begin"/>
      </w:r>
      <w:r w:rsidRPr="00943AE9">
        <w:rPr>
          <w:rFonts w:ascii="Arial" w:eastAsia="Times New Roman" w:hAnsi="Arial" w:cs="Arial"/>
          <w:i/>
          <w:iCs/>
          <w:color w:val="000000"/>
          <w:sz w:val="20"/>
          <w:szCs w:val="20"/>
          <w:lang w:eastAsia="vi-VN"/>
        </w:rPr>
        <w:instrText xml:space="preserve"> HYPERLINK "https://thuvienphapluat.vn/van-ban/Bao-hiem/Quyet-dinh-615-QD-BHXH-2023-sua-doi-Quy-che-quan-ly-to-chuc-dich-vu-thu-bao-hiem-xa-hoi-562715.aspx" \l "_ftn6" \o "" </w:instrText>
      </w:r>
      <w:r w:rsidRPr="00943AE9">
        <w:rPr>
          <w:rFonts w:ascii="Arial" w:eastAsia="Times New Roman" w:hAnsi="Arial" w:cs="Arial"/>
          <w:i/>
          <w:iCs/>
          <w:color w:val="000000"/>
          <w:sz w:val="20"/>
          <w:szCs w:val="20"/>
          <w:lang w:eastAsia="vi-VN"/>
        </w:rPr>
        <w:fldChar w:fldCharType="separate"/>
      </w:r>
      <w:r w:rsidRPr="00943AE9">
        <w:rPr>
          <w:rFonts w:ascii="Arial" w:eastAsia="Times New Roman" w:hAnsi="Arial" w:cs="Arial"/>
          <w:i/>
          <w:iCs/>
          <w:color w:val="000000"/>
          <w:sz w:val="20"/>
          <w:szCs w:val="20"/>
          <w:lang w:eastAsia="vi-VN"/>
        </w:rPr>
        <w:t>5</w:t>
      </w:r>
      <w:r w:rsidRPr="00943AE9">
        <w:rPr>
          <w:rFonts w:ascii="Arial" w:eastAsia="Times New Roman" w:hAnsi="Arial" w:cs="Arial"/>
          <w:i/>
          <w:iCs/>
          <w:color w:val="000000"/>
          <w:sz w:val="20"/>
          <w:szCs w:val="20"/>
          <w:lang w:eastAsia="vi-VN"/>
        </w:rPr>
        <w:fldChar w:fldCharType="end"/>
      </w:r>
      <w:bookmarkEnd w:id="4"/>
      <w:r w:rsidRPr="00943AE9">
        <w:rPr>
          <w:rFonts w:ascii="Arial" w:eastAsia="Times New Roman" w:hAnsi="Arial" w:cs="Arial"/>
          <w:i/>
          <w:iCs/>
          <w:color w:val="000000"/>
          <w:sz w:val="20"/>
          <w:szCs w:val="20"/>
          <w:lang w:eastAsia="vi-VN"/>
        </w:rPr>
        <w:t>) Thư bảo lãnh/hợp đồng bảo lãnh thực hiện Hợp đồng nguyên tắc số .../202.../BHXHVN-... ngày .../.../...của (Tổ chức dịch vụ)... và Bảo hiểm xã hội Việt Nam về ủy quyền thu BHXH tự nguyện, BHYT tự đóng là bộ phận không tách rời của Hợp đồng này.</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3. Thông báo, trao đổi giữa Hai Bên theo Hợp đồng này phải được lập thành văn bản và gửi đến Bên kia theo địa chỉ nêu trên. Các Bên có nghĩa vụ tuân thủ Hợp đồng, trong quá trình thực hiện có trách nhiệm hỗ trợ, hợp tác với nhau.</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4. Hợp đồng này được lập thành ... bản có nội dung và giá trị pháp lý như nhau, mỗi Bên giữ ... bản./.</w:t>
      </w:r>
    </w:p>
    <w:p w:rsidR="00943AE9" w:rsidRPr="00943AE9" w:rsidRDefault="00943AE9" w:rsidP="00943AE9">
      <w:pPr>
        <w:shd w:val="clear" w:color="auto" w:fill="FFFFFF"/>
        <w:spacing w:before="120" w:after="120" w:line="234" w:lineRule="atLeast"/>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943AE9" w:rsidRPr="00943AE9" w:rsidTr="00943AE9">
        <w:trPr>
          <w:tblCellSpacing w:w="0" w:type="dxa"/>
        </w:trPr>
        <w:tc>
          <w:tcPr>
            <w:tcW w:w="2500" w:type="pct"/>
            <w:shd w:val="clear" w:color="auto" w:fill="FFFFFF"/>
            <w:tcMar>
              <w:top w:w="0" w:type="dxa"/>
              <w:left w:w="108" w:type="dxa"/>
              <w:bottom w:w="0" w:type="dxa"/>
              <w:right w:w="108" w:type="dxa"/>
            </w:tcMar>
            <w:hideMark/>
          </w:tcPr>
          <w:p w:rsidR="00943AE9" w:rsidRPr="00943AE9" w:rsidRDefault="00943AE9" w:rsidP="00943AE9">
            <w:pPr>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THỦ TRƯỞNG ĐƠN VỊ</w:t>
            </w:r>
            <w:r w:rsidRPr="00943AE9">
              <w:rPr>
                <w:rFonts w:ascii="Arial" w:eastAsia="Times New Roman" w:hAnsi="Arial" w:cs="Arial"/>
                <w:b/>
                <w:bCs/>
                <w:color w:val="000000"/>
                <w:sz w:val="20"/>
                <w:szCs w:val="20"/>
                <w:lang w:eastAsia="vi-VN"/>
              </w:rPr>
              <w:br/>
            </w:r>
            <w:r w:rsidRPr="00943AE9">
              <w:rPr>
                <w:rFonts w:ascii="Arial" w:eastAsia="Times New Roman" w:hAnsi="Arial" w:cs="Arial"/>
                <w:i/>
                <w:iCs/>
                <w:color w:val="000000"/>
                <w:sz w:val="20"/>
                <w:szCs w:val="20"/>
                <w:lang w:eastAsia="vi-VN"/>
              </w:rPr>
              <w:t>(Ký, ghi rõ họ tên, đóng dấu)</w:t>
            </w:r>
          </w:p>
          <w:p w:rsidR="00943AE9" w:rsidRPr="00943AE9" w:rsidRDefault="00943AE9" w:rsidP="00943AE9">
            <w:pPr>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color w:val="000000"/>
                <w:sz w:val="20"/>
                <w:szCs w:val="20"/>
                <w:lang w:eastAsia="vi-VN"/>
              </w:rPr>
              <w:t> </w:t>
            </w:r>
          </w:p>
        </w:tc>
        <w:tc>
          <w:tcPr>
            <w:tcW w:w="2500" w:type="pct"/>
            <w:shd w:val="clear" w:color="auto" w:fill="FFFFFF"/>
            <w:tcMar>
              <w:top w:w="0" w:type="dxa"/>
              <w:left w:w="108" w:type="dxa"/>
              <w:bottom w:w="0" w:type="dxa"/>
              <w:right w:w="108" w:type="dxa"/>
            </w:tcMar>
            <w:hideMark/>
          </w:tcPr>
          <w:p w:rsidR="00943AE9" w:rsidRPr="00943AE9" w:rsidRDefault="00943AE9" w:rsidP="00943AE9">
            <w:pPr>
              <w:spacing w:before="120" w:after="120" w:line="234" w:lineRule="atLeast"/>
              <w:jc w:val="center"/>
              <w:rPr>
                <w:rFonts w:ascii="Arial" w:eastAsia="Times New Roman" w:hAnsi="Arial" w:cs="Arial"/>
                <w:color w:val="000000"/>
                <w:sz w:val="18"/>
                <w:szCs w:val="18"/>
                <w:lang w:eastAsia="vi-VN"/>
              </w:rPr>
            </w:pPr>
            <w:r w:rsidRPr="00943AE9">
              <w:rPr>
                <w:rFonts w:ascii="Arial" w:eastAsia="Times New Roman" w:hAnsi="Arial" w:cs="Arial"/>
                <w:b/>
                <w:bCs/>
                <w:color w:val="000000"/>
                <w:sz w:val="20"/>
                <w:szCs w:val="20"/>
                <w:lang w:eastAsia="vi-VN"/>
              </w:rPr>
              <w:t>GIÁM ĐỐC BHXH</w:t>
            </w:r>
            <w:r w:rsidRPr="00943AE9">
              <w:rPr>
                <w:rFonts w:ascii="Arial" w:eastAsia="Times New Roman" w:hAnsi="Arial" w:cs="Arial"/>
                <w:color w:val="000000"/>
                <w:sz w:val="20"/>
                <w:szCs w:val="20"/>
                <w:lang w:eastAsia="vi-VN"/>
              </w:rPr>
              <w:t>…………..</w:t>
            </w:r>
            <w:r w:rsidRPr="00943AE9">
              <w:rPr>
                <w:rFonts w:ascii="Arial" w:eastAsia="Times New Roman" w:hAnsi="Arial" w:cs="Arial"/>
                <w:color w:val="000000"/>
                <w:sz w:val="20"/>
                <w:szCs w:val="20"/>
                <w:lang w:eastAsia="vi-VN"/>
              </w:rPr>
              <w:br/>
            </w:r>
            <w:r w:rsidRPr="00943AE9">
              <w:rPr>
                <w:rFonts w:ascii="Arial" w:eastAsia="Times New Roman" w:hAnsi="Arial" w:cs="Arial"/>
                <w:i/>
                <w:iCs/>
                <w:color w:val="000000"/>
                <w:sz w:val="20"/>
                <w:szCs w:val="20"/>
                <w:lang w:eastAsia="vi-VN"/>
              </w:rPr>
              <w:t>(Ký tên, ghi rõ họ tên, đóng dấu)</w:t>
            </w:r>
          </w:p>
        </w:tc>
      </w:tr>
    </w:tbl>
    <w:p w:rsidR="00DC2A5B" w:rsidRDefault="00943AE9">
      <w:bookmarkStart w:id="5" w:name="_GoBack"/>
      <w:bookmarkEnd w:id="5"/>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E9"/>
    <w:rsid w:val="00006E30"/>
    <w:rsid w:val="007E18FB"/>
    <w:rsid w:val="00943A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2FF4-4BE9-4390-82A7-9B6A4C4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A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43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5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2023-04-12T01:48:00Z</dcterms:created>
  <dcterms:modified xsi:type="dcterms:W3CDTF">2023-04-12T01:49:00Z</dcterms:modified>
</cp:coreProperties>
</file>