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67C" w:rsidRPr="00F900EA" w:rsidRDefault="006E667C" w:rsidP="006E66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Cs w:val="28"/>
        </w:rPr>
      </w:pPr>
      <w:bookmarkStart w:id="0" w:name="chuong_pl_1"/>
      <w:r w:rsidRPr="00F900EA">
        <w:rPr>
          <w:rFonts w:ascii="Arial" w:hAnsi="Arial" w:cs="Arial"/>
          <w:b/>
          <w:bCs/>
          <w:szCs w:val="28"/>
        </w:rPr>
        <w:t>PHỤ LỤC I</w:t>
      </w:r>
      <w:bookmarkEnd w:id="0"/>
    </w:p>
    <w:p w:rsidR="006E667C" w:rsidRPr="00F900EA" w:rsidRDefault="006E667C" w:rsidP="006E667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bookmarkStart w:id="1" w:name="chuong_pl_1_name"/>
      <w:r w:rsidRPr="00F900EA">
        <w:rPr>
          <w:rFonts w:ascii="Arial" w:hAnsi="Arial" w:cs="Arial"/>
          <w:bCs/>
          <w:sz w:val="20"/>
          <w:szCs w:val="28"/>
        </w:rPr>
        <w:t>DANH MỤC MỘT SỐ BỆNH ĐƯỢC KHÁM BỆNH, CHỮA BỆNH TẠI CƠ SỞ KHÁM BỆNH, CHỮA BỆNH CẤP CHUYÊN SÂU</w:t>
      </w:r>
      <w:bookmarkEnd w:id="1"/>
      <w:r w:rsidRPr="00F900EA">
        <w:rPr>
          <w:rFonts w:ascii="Arial" w:hAnsi="Arial" w:cs="Arial"/>
          <w:bCs/>
          <w:sz w:val="20"/>
          <w:szCs w:val="28"/>
        </w:rPr>
        <w:br/>
      </w:r>
      <w:r w:rsidRPr="00F900EA">
        <w:rPr>
          <w:rFonts w:ascii="Arial" w:hAnsi="Arial" w:cs="Arial"/>
          <w:i/>
          <w:iCs/>
          <w:sz w:val="20"/>
          <w:szCs w:val="26"/>
        </w:rPr>
        <w:t xml:space="preserve">(Ban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hành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kèm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theo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Thông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tư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số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01/2025/TT-BYT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ngày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01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tháng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01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năm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2025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của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Bộ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trưởng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Bộ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 xml:space="preserve"> Y </w:t>
      </w:r>
      <w:proofErr w:type="spellStart"/>
      <w:r w:rsidRPr="00F900EA">
        <w:rPr>
          <w:rFonts w:ascii="Arial" w:hAnsi="Arial" w:cs="Arial"/>
          <w:i/>
          <w:iCs/>
          <w:sz w:val="20"/>
          <w:szCs w:val="26"/>
        </w:rPr>
        <w:t>tế</w:t>
      </w:r>
      <w:proofErr w:type="spellEnd"/>
      <w:r w:rsidRPr="00F900EA">
        <w:rPr>
          <w:rFonts w:ascii="Arial" w:hAnsi="Arial" w:cs="Arial"/>
          <w:i/>
          <w:iCs/>
          <w:sz w:val="20"/>
          <w:szCs w:val="26"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409"/>
        <w:gridCol w:w="1330"/>
        <w:gridCol w:w="2911"/>
      </w:tblGrid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STT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Tên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nhóm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hợp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ICD-10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Tình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trạng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b/>
                <w:bCs/>
                <w:sz w:val="20"/>
                <w:szCs w:val="28"/>
              </w:rPr>
              <w:t>kiện</w:t>
            </w:r>
            <w:proofErr w:type="spellEnd"/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màng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do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lao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(G01*)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A17.0</w:t>
            </w:r>
            <w:r w:rsidRPr="00F900EA">
              <w:rPr>
                <w:rFonts w:ascii="Arial" w:hAnsi="Arial" w:cs="Arial"/>
                <w:noProof/>
                <w:sz w:val="20"/>
                <w:szCs w:val="28"/>
              </w:rPr>
              <w:drawing>
                <wp:inline distT="0" distB="0" distL="0" distR="0">
                  <wp:extent cx="76200" cy="161925"/>
                  <wp:effectExtent l="0" t="0" r="0" b="9525"/>
                  <wp:docPr id="8093748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lao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màng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(G07*)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A17.1</w:t>
            </w:r>
            <w:r w:rsidRPr="00F900EA">
              <w:rPr>
                <w:rFonts w:ascii="Arial" w:hAnsi="Arial" w:cs="Arial"/>
                <w:noProof/>
                <w:sz w:val="20"/>
                <w:szCs w:val="28"/>
              </w:rPr>
              <w:drawing>
                <wp:inline distT="0" distB="0" distL="0" distR="0">
                  <wp:extent cx="76200" cy="161925"/>
                  <wp:effectExtent l="0" t="0" r="0" b="9525"/>
                  <wp:docPr id="2889656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Lao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A17.8</w:t>
            </w:r>
            <w:r w:rsidRPr="00F900EA">
              <w:rPr>
                <w:rFonts w:ascii="Arial" w:hAnsi="Arial" w:cs="Arial"/>
                <w:noProof/>
                <w:sz w:val="20"/>
                <w:szCs w:val="28"/>
              </w:rPr>
              <w:drawing>
                <wp:inline distT="0" distB="0" distL="0" distR="0">
                  <wp:extent cx="76200" cy="161925"/>
                  <wp:effectExtent l="0" t="0" r="0" b="9525"/>
                  <wp:docPr id="5449414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Lao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(G99.8*)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A17.9</w:t>
            </w:r>
            <w:r w:rsidRPr="00F900EA">
              <w:rPr>
                <w:rFonts w:ascii="Arial" w:hAnsi="Arial" w:cs="Arial"/>
                <w:noProof/>
                <w:sz w:val="20"/>
                <w:szCs w:val="28"/>
              </w:rPr>
              <w:drawing>
                <wp:inline distT="0" distB="0" distL="0" distR="0">
                  <wp:extent cx="76200" cy="161925"/>
                  <wp:effectExtent l="0" t="0" r="0" b="9525"/>
                  <wp:docPr id="7843892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mycobacteria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A31.0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histoplasma capsulatum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B39.0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nấm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blastomyces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B40.0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nấm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paracoccidioides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B41.0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sporotrichum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(J99.8*)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B42.0</w:t>
            </w:r>
            <w:r w:rsidRPr="00F900EA">
              <w:rPr>
                <w:rFonts w:ascii="Arial" w:hAnsi="Arial" w:cs="Arial"/>
                <w:noProof/>
                <w:sz w:val="20"/>
                <w:szCs w:val="28"/>
              </w:rPr>
              <w:drawing>
                <wp:inline distT="0" distB="0" distL="0" distR="0">
                  <wp:extent cx="76200" cy="161925"/>
                  <wp:effectExtent l="0" t="0" r="0" b="9525"/>
                  <wp:docPr id="1578004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aspergillus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xâm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lấn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B44.0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cryptococcus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B45.0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mucor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B46.0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mucor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lan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toả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B46.4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tụy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C25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tuyến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ức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C37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trung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thất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màng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C38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C38.4)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sụn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khớp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trí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C41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C70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19.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C71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lastRenderedPageBreak/>
              <w:t>20.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sống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dây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sọ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trung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ương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C72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thứ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phát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màng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C79.3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Nhóm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C00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C97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đủ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02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kiện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đây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: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18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hiệu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U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lympho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tạo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máu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mô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liên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quan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C81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C86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C90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C96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C83.5)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hiệu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Hội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sản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xương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D46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hiệu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Các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thể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suy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D61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D61.9)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hiệu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tăng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máu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Hội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phospho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lipid)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D68.6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Hội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thực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bào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tế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bào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máu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liên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quan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trùng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D76.2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tháo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phụ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thuộc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insuline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E10.7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loét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bàn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chân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2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giai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3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trở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nhất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02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số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: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máu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29.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tháo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phụ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thuộc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insuline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E11.7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loét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bàn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chân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2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giai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3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trở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chuyển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acid amin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thơm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E70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18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chuyển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acid amin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chuỗi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nhánh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chuyển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acid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béo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E71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18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Các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chuyển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acid amin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E72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18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Nhóm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dự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trữ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thể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tiêu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bào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Pompe,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MPS,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Gaucher,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Fabry)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E74, E75, E76,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theo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ICD-10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WHO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cập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lastRenderedPageBreak/>
              <w:t>nhật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năm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2021)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lastRenderedPageBreak/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chuyển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đồng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(bao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gồm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Wilson)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E83.0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Wilson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một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gan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suy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gan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suy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ngôn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tâm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sút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trí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nhịp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Thoái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hóa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bột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E85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hiệu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trầm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cảm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diễn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F33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thuốc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ảnh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nghi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thức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F42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não-tủy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G04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G04.2)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39.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rác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G35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[Devic]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G36.0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Nhược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cơ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G70.0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Trường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lọc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máu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suy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hô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hấp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lý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võng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trẻ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đẻ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non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H35.1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Suy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I50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luận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giai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3,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giai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4.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tử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thượng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bì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(Lyell/Steven Johnson)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I51.2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Hội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mổ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I97.0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năng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phẫu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I97.1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mô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kẽ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J84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xe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trung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thất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J85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Tình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triển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theo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hướng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dẫn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49.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Mủ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lồng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ngực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nhiễm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trùng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ở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J86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Tình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triển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theo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hướng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dẫn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Crohn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ruột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vùng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K50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Mức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theo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thang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điểm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CDAI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450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điểm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trở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lastRenderedPageBreak/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như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rò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thủng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xe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ổ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suy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lastRenderedPageBreak/>
              <w:t>51.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Pemphigus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L10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Một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kiện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đây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: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Tổn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da &gt;10%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diện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thể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Tình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triển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theo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hướng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dẫn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- Á u.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Viêm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lưới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L95.0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53.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da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tăng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bạch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cầu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trung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sốt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[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Hội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Sweet]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L98.2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54.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Lupus ban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đỏ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thống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tổn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phủ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tạng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M32.1†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Tổn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thận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nặng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triển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đe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dọa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tính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55.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tháo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sinh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P70.2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56.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bẩm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não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Q04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57.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Các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bẩm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tủy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sống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Q06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được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hưởng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quyền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lợi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lượt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chữa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quả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chẩn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đoán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xác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mắc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58.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Nhóm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bẩm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hệ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thống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tuần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hoàn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Từ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Q20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Q28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dưới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18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tuổi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thuộc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một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trong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02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trường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hợp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đây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: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Phẫu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/can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thiệp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loại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đặc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biệt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- 03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phẫu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thuật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/can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thiệp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đồng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trở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lên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59.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bẩm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khớp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háng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Q65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chỉ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định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thay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khớp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60.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Kháng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)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thuốc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chống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lao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U84.3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61.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 xml:space="preserve">Di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hoạt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động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tranh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(Di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do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vết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chiến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tranh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Y89.1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thương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binh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,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công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cách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  <w:tr w:rsidR="006E667C" w:rsidRPr="00F900EA" w:rsidTr="00355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62.</w:t>
            </w:r>
          </w:p>
        </w:tc>
        <w:tc>
          <w:tcPr>
            <w:tcW w:w="2357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Tình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của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mảnh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ghép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cơ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quan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tổ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chức</w:t>
            </w:r>
            <w:proofErr w:type="spellEnd"/>
          </w:p>
        </w:tc>
        <w:tc>
          <w:tcPr>
            <w:tcW w:w="711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00EA">
              <w:rPr>
                <w:rFonts w:ascii="Arial" w:hAnsi="Arial" w:cs="Arial"/>
                <w:sz w:val="20"/>
                <w:szCs w:val="28"/>
              </w:rPr>
              <w:t>Z94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6E667C" w:rsidRPr="00F900EA" w:rsidRDefault="006E667C" w:rsidP="00355EB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Áp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dụng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đối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với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người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bệnh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có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ghép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và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điều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trị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sau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ghép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F900EA">
              <w:rPr>
                <w:rFonts w:ascii="Arial" w:hAnsi="Arial" w:cs="Arial"/>
                <w:sz w:val="20"/>
                <w:szCs w:val="28"/>
              </w:rPr>
              <w:t>tạng</w:t>
            </w:r>
            <w:proofErr w:type="spellEnd"/>
            <w:r w:rsidRPr="00F900EA">
              <w:rPr>
                <w:rFonts w:ascii="Arial" w:hAnsi="Arial" w:cs="Arial"/>
                <w:sz w:val="20"/>
                <w:szCs w:val="28"/>
              </w:rPr>
              <w:t>.</w:t>
            </w:r>
          </w:p>
        </w:tc>
      </w:tr>
    </w:tbl>
    <w:p w:rsidR="006E667C" w:rsidRPr="00F900EA" w:rsidRDefault="006E667C" w:rsidP="006E66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proofErr w:type="spellStart"/>
      <w:r w:rsidRPr="00F900EA">
        <w:rPr>
          <w:rFonts w:ascii="Arial" w:hAnsi="Arial" w:cs="Arial"/>
          <w:b/>
          <w:bCs/>
          <w:sz w:val="20"/>
          <w:szCs w:val="28"/>
        </w:rPr>
        <w:lastRenderedPageBreak/>
        <w:t>Ghi</w:t>
      </w:r>
      <w:proofErr w:type="spellEnd"/>
      <w:r w:rsidRPr="00F900EA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b/>
          <w:bCs/>
          <w:sz w:val="20"/>
          <w:szCs w:val="28"/>
        </w:rPr>
        <w:t>chú</w:t>
      </w:r>
      <w:proofErr w:type="spellEnd"/>
      <w:r w:rsidRPr="00F900EA">
        <w:rPr>
          <w:rFonts w:ascii="Arial" w:hAnsi="Arial" w:cs="Arial"/>
          <w:b/>
          <w:bCs/>
          <w:sz w:val="20"/>
          <w:szCs w:val="28"/>
        </w:rPr>
        <w:t>:</w:t>
      </w:r>
    </w:p>
    <w:p w:rsidR="006E667C" w:rsidRPr="00F900EA" w:rsidRDefault="006E667C" w:rsidP="006E66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F900EA">
        <w:rPr>
          <w:rFonts w:ascii="Arial" w:hAnsi="Arial" w:cs="Arial"/>
          <w:sz w:val="20"/>
          <w:szCs w:val="28"/>
        </w:rPr>
        <w:t xml:space="preserve">1. Các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bệnh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có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03 </w:t>
      </w:r>
      <w:proofErr w:type="spellStart"/>
      <w:r w:rsidRPr="00F900EA">
        <w:rPr>
          <w:rFonts w:ascii="Arial" w:hAnsi="Arial" w:cs="Arial"/>
          <w:sz w:val="20"/>
          <w:szCs w:val="28"/>
        </w:rPr>
        <w:t>ký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tự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trong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Phụ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lục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này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bao </w:t>
      </w:r>
      <w:proofErr w:type="spellStart"/>
      <w:r w:rsidRPr="00F900EA">
        <w:rPr>
          <w:rFonts w:ascii="Arial" w:hAnsi="Arial" w:cs="Arial"/>
          <w:sz w:val="20"/>
          <w:szCs w:val="28"/>
        </w:rPr>
        <w:t>gồm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tất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các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bệnh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chi </w:t>
      </w:r>
      <w:proofErr w:type="spellStart"/>
      <w:r w:rsidRPr="00F900EA">
        <w:rPr>
          <w:rFonts w:ascii="Arial" w:hAnsi="Arial" w:cs="Arial"/>
          <w:sz w:val="20"/>
          <w:szCs w:val="28"/>
        </w:rPr>
        <w:t>tiết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có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04 </w:t>
      </w:r>
      <w:proofErr w:type="spellStart"/>
      <w:r w:rsidRPr="00F900EA">
        <w:rPr>
          <w:rFonts w:ascii="Arial" w:hAnsi="Arial" w:cs="Arial"/>
          <w:sz w:val="20"/>
          <w:szCs w:val="28"/>
        </w:rPr>
        <w:t>ký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tự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. </w:t>
      </w:r>
      <w:proofErr w:type="spellStart"/>
      <w:r w:rsidRPr="00F900EA">
        <w:rPr>
          <w:rFonts w:ascii="Arial" w:hAnsi="Arial" w:cs="Arial"/>
          <w:sz w:val="20"/>
          <w:szCs w:val="28"/>
        </w:rPr>
        <w:t>Ví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dụ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: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C25 bao </w:t>
      </w:r>
      <w:proofErr w:type="spellStart"/>
      <w:r w:rsidRPr="00F900EA">
        <w:rPr>
          <w:rFonts w:ascii="Arial" w:hAnsi="Arial" w:cs="Arial"/>
          <w:sz w:val="20"/>
          <w:szCs w:val="28"/>
        </w:rPr>
        <w:t>gồm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các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C25.0, C25.1, C25.2, C25.3, C25.4, C25.7, C25.8, C25.9</w:t>
      </w:r>
    </w:p>
    <w:p w:rsidR="006E667C" w:rsidRPr="00F900EA" w:rsidRDefault="006E667C" w:rsidP="006E667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F900EA">
        <w:rPr>
          <w:rFonts w:ascii="Arial" w:hAnsi="Arial" w:cs="Arial"/>
          <w:sz w:val="20"/>
          <w:szCs w:val="28"/>
        </w:rPr>
        <w:t xml:space="preserve">2. Trường </w:t>
      </w:r>
      <w:proofErr w:type="spellStart"/>
      <w:r w:rsidRPr="00F900EA">
        <w:rPr>
          <w:rFonts w:ascii="Arial" w:hAnsi="Arial" w:cs="Arial"/>
          <w:sz w:val="20"/>
          <w:szCs w:val="28"/>
        </w:rPr>
        <w:t>hợp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có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bệnh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chi </w:t>
      </w:r>
      <w:proofErr w:type="spellStart"/>
      <w:r w:rsidRPr="00F900EA">
        <w:rPr>
          <w:rFonts w:ascii="Arial" w:hAnsi="Arial" w:cs="Arial"/>
          <w:sz w:val="20"/>
          <w:szCs w:val="28"/>
        </w:rPr>
        <w:t>tiết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đến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04 </w:t>
      </w:r>
      <w:proofErr w:type="spellStart"/>
      <w:r w:rsidRPr="00F900EA">
        <w:rPr>
          <w:rFonts w:ascii="Arial" w:hAnsi="Arial" w:cs="Arial"/>
          <w:sz w:val="20"/>
          <w:szCs w:val="28"/>
        </w:rPr>
        <w:t>ký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tự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, </w:t>
      </w:r>
      <w:proofErr w:type="spellStart"/>
      <w:r w:rsidRPr="00F900EA">
        <w:rPr>
          <w:rFonts w:ascii="Arial" w:hAnsi="Arial" w:cs="Arial"/>
          <w:sz w:val="20"/>
          <w:szCs w:val="28"/>
        </w:rPr>
        <w:t>khi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xác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định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bệnh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phải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ghi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rõ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mã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chi </w:t>
      </w:r>
      <w:proofErr w:type="spellStart"/>
      <w:r w:rsidRPr="00F900EA">
        <w:rPr>
          <w:rFonts w:ascii="Arial" w:hAnsi="Arial" w:cs="Arial"/>
          <w:sz w:val="20"/>
          <w:szCs w:val="28"/>
        </w:rPr>
        <w:t>tiết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04 </w:t>
      </w:r>
      <w:proofErr w:type="spellStart"/>
      <w:r w:rsidRPr="00F900EA">
        <w:rPr>
          <w:rFonts w:ascii="Arial" w:hAnsi="Arial" w:cs="Arial"/>
          <w:sz w:val="20"/>
          <w:szCs w:val="28"/>
        </w:rPr>
        <w:t>ký</w:t>
      </w:r>
      <w:proofErr w:type="spellEnd"/>
      <w:r w:rsidRPr="00F900EA">
        <w:rPr>
          <w:rFonts w:ascii="Arial" w:hAnsi="Arial" w:cs="Arial"/>
          <w:sz w:val="20"/>
          <w:szCs w:val="28"/>
        </w:rPr>
        <w:t xml:space="preserve"> </w:t>
      </w:r>
      <w:proofErr w:type="spellStart"/>
      <w:r w:rsidRPr="00F900EA">
        <w:rPr>
          <w:rFonts w:ascii="Arial" w:hAnsi="Arial" w:cs="Arial"/>
          <w:sz w:val="20"/>
          <w:szCs w:val="28"/>
        </w:rPr>
        <w:t>tự</w:t>
      </w:r>
      <w:proofErr w:type="spellEnd"/>
      <w:r w:rsidRPr="00F900EA">
        <w:rPr>
          <w:rFonts w:ascii="Arial" w:hAnsi="Arial" w:cs="Arial"/>
          <w:sz w:val="20"/>
          <w:szCs w:val="28"/>
        </w:rPr>
        <w:t>.</w:t>
      </w:r>
    </w:p>
    <w:p w:rsidR="006E667C" w:rsidRDefault="006E667C"/>
    <w:sectPr w:rsidR="006E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7C"/>
    <w:rsid w:val="006A081B"/>
    <w:rsid w:val="006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6E889-72E9-48EE-AAA4-1712B4F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2025-02-14T04:22:00Z</dcterms:created>
  <dcterms:modified xsi:type="dcterms:W3CDTF">2025-02-14T04:22:00Z</dcterms:modified>
</cp:coreProperties>
</file>